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3"/>
        <w:framePr w:wrap="around"/>
      </w:pPr>
      <w:r>
        <w:rPr>
          <w:rFonts w:ascii="Times New Roman"/>
        </w:rPr>
        <w:t>ICS</w:t>
      </w:r>
      <w:r>
        <w:t> </w:t>
      </w:r>
      <w:r>
        <w:rPr>
          <w:rFonts w:hint="eastAsia"/>
        </w:rPr>
        <w:t>01.040.03</w:t>
      </w:r>
    </w:p>
    <w:p>
      <w:pPr>
        <w:pStyle w:val="123"/>
        <w:framePr w:wrap="around"/>
      </w:pPr>
      <w:r>
        <w:rPr>
          <w:rFonts w:hint="eastAsia"/>
        </w:rPr>
        <w:t>A14</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shd w:val="clear" w:color="auto" w:fill="auto"/>
          </w:tcPr>
          <w:p>
            <w:pPr>
              <w:pStyle w:val="123"/>
              <w:framePr w:wrap="around"/>
            </w:pPr>
            <w:r>
              <mc:AlternateContent>
                <mc:Choice Requires="wps">
                  <w:drawing>
                    <wp:anchor distT="0" distB="0" distL="114300" distR="114300" simplePos="0" relativeHeight="251664384" behindDoc="1" locked="0" layoutInCell="1" allowOverlap="1">
                      <wp:simplePos x="0" y="0"/>
                      <wp:positionH relativeFrom="column">
                        <wp:posOffset>-66675</wp:posOffset>
                      </wp:positionH>
                      <wp:positionV relativeFrom="paragraph">
                        <wp:posOffset>0</wp:posOffset>
                      </wp:positionV>
                      <wp:extent cx="866775" cy="198120"/>
                      <wp:effectExtent l="0" t="0" r="0" b="1905"/>
                      <wp:wrapNone/>
                      <wp:docPr id="6" name="BAH"/>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BAH" o:spid="_x0000_s1026" o:spt="1" style="position:absolute;left:0pt;margin-left:-5.25pt;margin-top:0pt;height:15.6pt;width:68.25pt;z-index:-251652096;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yK4v7NUAAAAHAQAADwAAAAAAAAABACAAAAAi&#10;AAAAZHJzL2Rvd25yZXYueG1sUEsBAhQAFAAAAAgAh07iQMhJMdUNAgAAIAQAAA4AAAAAAAAAAQAg&#10;AAAAJAEAAGRycy9lMm9Eb2MueG1sUEsFBgAAAAAGAAYAWQEAAKMFAAAAAA==&#10;">
                      <v:fill on="t" focussize="0,0"/>
                      <v:stroke on="f"/>
                      <v:imagedata o:title=""/>
                      <o:lock v:ext="edit" aspectratio="f"/>
                    </v:rect>
                  </w:pict>
                </mc:Fallback>
              </mc:AlternateContent>
            </w:r>
            <w:r>
              <w:fldChar w:fldCharType="begin">
                <w:ffData>
                  <w:name w:val="BAH"/>
                  <w:enabled/>
                  <w:calcOnExit w:val="0"/>
                  <w:textInput/>
                </w:ffData>
              </w:fldChar>
            </w:r>
            <w:bookmarkStart w:id="0" w:name="BAH"/>
            <w:r>
              <w:instrText xml:space="preserve"> FORMTEXT </w:instrText>
            </w:r>
            <w:r>
              <w:fldChar w:fldCharType="separate"/>
            </w:r>
            <w:r>
              <w:t>     </w:t>
            </w:r>
            <w:r>
              <w:fldChar w:fldCharType="end"/>
            </w:r>
            <w:bookmarkEnd w:id="0"/>
          </w:p>
        </w:tc>
      </w:tr>
    </w:tbl>
    <w:p>
      <w:pPr>
        <w:pStyle w:val="109"/>
        <w:framePr w:wrap="around"/>
      </w:pPr>
      <w:r>
        <w:t>DB</w:t>
      </w:r>
      <w:r>
        <w:rPr>
          <w:rFonts w:hint="eastAsia"/>
        </w:rPr>
        <w:t>3213</w:t>
      </w:r>
    </w:p>
    <w:p>
      <w:pPr>
        <w:pStyle w:val="110"/>
        <w:framePr w:wrap="around"/>
      </w:pPr>
      <w:r>
        <w:rPr>
          <w:rFonts w:hint="eastAsia"/>
        </w:rPr>
        <w:t>宿迁市地方标准</w:t>
      </w:r>
    </w:p>
    <w:p>
      <w:pPr>
        <w:pStyle w:val="47"/>
        <w:framePr w:wrap="around"/>
      </w:pPr>
      <w:r>
        <w:rPr>
          <w:rFonts w:ascii="Times New Roman"/>
        </w:rPr>
        <w:t xml:space="preserve">DB </w:t>
      </w:r>
      <w:r>
        <w:rPr>
          <w:rFonts w:hint="eastAsia"/>
        </w:rPr>
        <w:t>3213</w:t>
      </w:r>
      <w:r>
        <w:t>/</w:t>
      </w:r>
      <w:r>
        <w:rPr>
          <w:rFonts w:hint="eastAsia"/>
        </w:rPr>
        <w:t>T</w:t>
      </w:r>
      <w:r>
        <w:t xml:space="preserve"> </w:t>
      </w:r>
      <w:bookmarkStart w:id="1" w:name="StdNo1"/>
      <w:r>
        <w:fldChar w:fldCharType="begin">
          <w:ffData>
            <w:name w:val="StdNo1"/>
            <w:enabled/>
            <w:calcOnExit w:val="0"/>
            <w:textInput>
              <w:default w:val="XXXXX"/>
            </w:textInput>
          </w:ffData>
        </w:fldChar>
      </w:r>
      <w:r>
        <w:instrText xml:space="preserve"> FORMTEXT </w:instrText>
      </w:r>
      <w:r>
        <w:fldChar w:fldCharType="separate"/>
      </w:r>
      <w:r>
        <w:t>XXXXX</w:t>
      </w:r>
      <w:r>
        <w:fldChar w:fldCharType="end"/>
      </w:r>
      <w:bookmarkEnd w:id="1"/>
      <w:r>
        <w:t>—</w:t>
      </w:r>
      <w:bookmarkStart w:id="2" w:name="StdNo2"/>
      <w:r>
        <w:fldChar w:fldCharType="begin">
          <w:ffData>
            <w:name w:val="StdNo2"/>
            <w:enabled/>
            <w:calcOnExit w:val="0"/>
            <w:textInput>
              <w:default w:val="XXXX"/>
              <w:maxLength w:val="4"/>
            </w:textInput>
          </w:ffData>
        </w:fldChar>
      </w:r>
      <w:r>
        <w:instrText xml:space="preserve"> FORMTEXT </w:instrText>
      </w:r>
      <w:r>
        <w:fldChar w:fldCharType="separate"/>
      </w:r>
      <w:r>
        <w:rPr>
          <w:rFonts w:hint="eastAsia"/>
        </w:rPr>
        <w:t>2023</w:t>
      </w:r>
      <w:r>
        <w:fldChar w:fldCharType="end"/>
      </w:r>
      <w:bookmarkEnd w:id="2"/>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shd w:val="clear" w:color="auto" w:fill="auto"/>
          </w:tcPr>
          <w:p>
            <w:pPr>
              <w:pStyle w:val="76"/>
              <w:framePr w:wrap="around"/>
            </w:pPr>
            <w:bookmarkStart w:id="3" w:name="DT"/>
            <w:r>
              <mc:AlternateContent>
                <mc:Choice Requires="wps">
                  <w:drawing>
                    <wp:anchor distT="0" distB="0" distL="114300" distR="114300" simplePos="0" relativeHeight="251661312" behindDoc="1" locked="0" layoutInCell="1" allowOverlap="1">
                      <wp:simplePos x="0" y="0"/>
                      <wp:positionH relativeFrom="column">
                        <wp:posOffset>4734560</wp:posOffset>
                      </wp:positionH>
                      <wp:positionV relativeFrom="paragraph">
                        <wp:posOffset>34290</wp:posOffset>
                      </wp:positionV>
                      <wp:extent cx="1143000" cy="228600"/>
                      <wp:effectExtent l="635" t="0" r="0" b="3810"/>
                      <wp:wrapNone/>
                      <wp:docPr id="5" name="DT"/>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DT" o:spid="_x0000_s1026" o:spt="1" style="position:absolute;left:0pt;margin-left:372.8pt;margin-top:2.7pt;height:18pt;width:90pt;z-index:-251655168;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HmDyy9YAAAAIAQAADwAAAAAAAAABACAAAAAiAAAA&#10;ZHJzL2Rvd25yZXYueG1sUEsBAhQAFAAAAAgAh07iQOl1ToMJAgAAIAQAAA4AAAAAAAAAAQAgAAAA&#10;JQEAAGRycy9lMm9Eb2MueG1sUEsFBgAAAAAGAAYAWQEAAKAFAAAAAA==&#10;">
                      <v:fill on="t" focussize="0,0"/>
                      <v:stroke on="f"/>
                      <v:imagedata o:title=""/>
                      <o:lock v:ext="edit" aspectratio="f"/>
                    </v:rect>
                  </w:pict>
                </mc:Fallback>
              </mc:AlternateContent>
            </w:r>
            <w:r>
              <w:fldChar w:fldCharType="begin">
                <w:ffData>
                  <w:name w:val="DT"/>
                  <w:enabled/>
                  <w:calcOnExit w:val="0"/>
                  <w:textInput/>
                </w:ffData>
              </w:fldChar>
            </w:r>
            <w:r>
              <w:instrText xml:space="preserve"> FORMTEXT </w:instrText>
            </w:r>
            <w:r>
              <w:fldChar w:fldCharType="separate"/>
            </w:r>
            <w:r>
              <w:t>     </w:t>
            </w:r>
            <w:r>
              <w:fldChar w:fldCharType="end"/>
            </w:r>
            <w:bookmarkEnd w:id="3"/>
          </w:p>
        </w:tc>
      </w:tr>
    </w:tbl>
    <w:p>
      <w:pPr>
        <w:pStyle w:val="47"/>
        <w:framePr w:wrap="around"/>
      </w:pPr>
    </w:p>
    <w:p>
      <w:pPr>
        <w:pStyle w:val="47"/>
        <w:framePr w:wrap="around"/>
      </w:pPr>
    </w:p>
    <w:p>
      <w:pPr>
        <w:pStyle w:val="78"/>
        <w:framePr w:wrap="around"/>
      </w:pPr>
      <w:r>
        <w:rPr>
          <w:rFonts w:hint="eastAsia"/>
        </w:rPr>
        <w:t>网络交易经营者信用风险分类管理规范</w:t>
      </w:r>
    </w:p>
    <w:p>
      <w:pPr>
        <w:pStyle w:val="79"/>
        <w:framePr w:wrap="around"/>
      </w:pPr>
      <w:r>
        <w:t>Norms for categorical management of credit risks of online transaction operators</w:t>
      </w:r>
    </w:p>
    <w:p>
      <w:pPr>
        <w:pStyle w:val="80"/>
        <w:framePr w:wrap="around"/>
      </w:pP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81"/>
              <w:framePr w:wrap="around"/>
            </w:pPr>
            <w:r>
              <mc:AlternateContent>
                <mc:Choice Requires="wps">
                  <w:drawing>
                    <wp:anchor distT="0" distB="0" distL="114300" distR="114300" simplePos="0" relativeHeight="251663360" behindDoc="1" locked="1" layoutInCell="1" allowOverlap="1">
                      <wp:simplePos x="0" y="0"/>
                      <wp:positionH relativeFrom="column">
                        <wp:posOffset>2200910</wp:posOffset>
                      </wp:positionH>
                      <wp:positionV relativeFrom="paragraph">
                        <wp:posOffset>573405</wp:posOffset>
                      </wp:positionV>
                      <wp:extent cx="1905000" cy="254000"/>
                      <wp:effectExtent l="635" t="1905" r="0" b="1270"/>
                      <wp:wrapNone/>
                      <wp:docPr id="4" name="RQ"/>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Q" o:spid="_x0000_s1026" o:spt="1" style="position:absolute;left:0pt;margin-left:173.3pt;margin-top:45.15pt;height:20pt;width:150pt;z-index:-251653120;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&#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Fia6S1QAAAAoBAAAPAAAAAAAAAAEAIAAAACIAAABk&#10;cnMvZG93bnJldi54bWxQSwECFAAUAAAACACHTuJAbG1PugkCAAAgBAAADgAAAAAAAAABACAAAAAk&#10;AQAAZHJzL2Uyb0RvYy54bWxQSwUGAAAAAAYABgBZAQAAnwUAAAAA&#10;">
                      <v:fill on="t" focussize="0,0"/>
                      <v:stroke on="f"/>
                      <v:imagedata o:title=""/>
                      <o:lock v:ext="edit" aspectratio="f"/>
                      <w10:anchorlock/>
                    </v:rect>
                  </w:pict>
                </mc:Fallback>
              </mc:AlternateContent>
            </w:r>
            <w:r>
              <mc:AlternateContent>
                <mc:Choice Requires="wps">
                  <w:drawing>
                    <wp:anchor distT="0" distB="0" distL="114300" distR="114300" simplePos="0" relativeHeight="251662336" behindDoc="1" locked="0" layoutInCell="1" allowOverlap="1">
                      <wp:simplePos x="0" y="0"/>
                      <wp:positionH relativeFrom="column">
                        <wp:posOffset>2454910</wp:posOffset>
                      </wp:positionH>
                      <wp:positionV relativeFrom="paragraph">
                        <wp:posOffset>255905</wp:posOffset>
                      </wp:positionV>
                      <wp:extent cx="1270000" cy="304800"/>
                      <wp:effectExtent l="0" t="0" r="0" b="1270"/>
                      <wp:wrapNone/>
                      <wp:docPr id="3" name="LB"/>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LB" o:spid="_x0000_s1026" o:spt="1" style="position:absolute;left:0pt;margin-left:193.3pt;margin-top:20.15pt;height:24pt;width:100pt;z-index:-251654144;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GL5dYAAAAJAQAADwAAAAAAAAABACAAAAAiAAAA&#10;ZHJzL2Rvd25yZXYueG1sUEsBAhQAFAAAAAgAh07iQBxxlwgJAgAAIAQAAA4AAAAAAAAAAQAgAAAA&#10;JQEAAGRycy9lMm9Eb2MueG1sUEsFBgAAAAAGAAYAWQEAAKAFAAAAAA==&#10;">
                      <v:fill on="t" focussize="0,0"/>
                      <v:stroke on="f"/>
                      <v:imagedata o:title=""/>
                      <o:lock v:ext="edit" aspectratio="f"/>
                    </v:rect>
                  </w:pict>
                </mc:Fallback>
              </mc:AlternateContent>
            </w:r>
            <w:r>
              <w:rPr>
                <w:rFonts w:hint="eastAsia"/>
                <w:lang w:eastAsia="zh-CN"/>
              </w:rPr>
              <w:t>报批</w:t>
            </w:r>
            <w:r>
              <w:rPr>
                <w:rFonts w:hint="eastAsia"/>
              </w:rPr>
              <w:t>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82"/>
              <w:framePr w:wrap="around"/>
            </w:pPr>
            <w:bookmarkStart w:id="4" w:name="WCRQ"/>
            <w:r>
              <w:fldChar w:fldCharType="begin">
                <w:ffData>
                  <w:name w:val="WCRQ"/>
                  <w:enabled/>
                  <w:calcOnExit w:val="0"/>
                  <w:textInput/>
                </w:ffData>
              </w:fldChar>
            </w:r>
            <w:r>
              <w:instrText xml:space="preserve"> FORMTEXT </w:instrText>
            </w:r>
            <w:r>
              <w:fldChar w:fldCharType="separate"/>
            </w:r>
            <w:r>
              <w:t>     </w:t>
            </w:r>
            <w:r>
              <w:fldChar w:fldCharType="end"/>
            </w:r>
            <w:bookmarkEnd w:id="4"/>
          </w:p>
        </w:tc>
      </w:tr>
    </w:tbl>
    <w:p>
      <w:pPr>
        <w:pStyle w:val="130"/>
        <w:framePr w:wrap="around" w:hAnchor="page" w:x="1561" w:y="14086"/>
      </w:pPr>
      <w:r>
        <w:rPr>
          <w:rFonts w:hint="eastAsia" w:ascii="黑体"/>
        </w:rPr>
        <w:t>2023</w:t>
      </w:r>
      <w:r>
        <w:t xml:space="preserve"> </w:t>
      </w:r>
      <w:r>
        <w:rPr>
          <w:rFonts w:ascii="黑体"/>
        </w:rPr>
        <w:t>-</w:t>
      </w:r>
      <w:r>
        <w:t xml:space="preserve"> </w:t>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5" w:name="FD"/>
      <w:r>
        <w:rPr>
          <w:rFonts w:ascii="黑体"/>
        </w:rPr>
        <w:fldChar w:fldCharType="begin">
          <w:ffData>
            <w:name w:val="F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5"/>
      <w:r>
        <w:rPr>
          <w:rFonts w:hint="eastAsia"/>
        </w:rPr>
        <w:t>发布</w:t>
      </w:r>
      <w:r>
        <mc:AlternateContent>
          <mc:Choice Requires="wps">
            <w:drawing>
              <wp:anchor distT="0" distB="0" distL="114300" distR="114300" simplePos="0" relativeHeight="251659264" behindDoc="0" locked="1" layoutInCell="1" allowOverlap="1">
                <wp:simplePos x="0" y="0"/>
                <wp:positionH relativeFrom="column">
                  <wp:posOffset>38100</wp:posOffset>
                </wp:positionH>
                <wp:positionV relativeFrom="page">
                  <wp:posOffset>9251950</wp:posOffset>
                </wp:positionV>
                <wp:extent cx="5843270" cy="0"/>
                <wp:effectExtent l="9525" t="12700" r="5080" b="6350"/>
                <wp:wrapNone/>
                <wp:docPr id="2" name="Line 10"/>
                <wp:cNvGraphicFramePr/>
                <a:graphic xmlns:a="http://schemas.openxmlformats.org/drawingml/2006/main">
                  <a:graphicData uri="http://schemas.microsoft.com/office/word/2010/wordprocessingShape">
                    <wps:wsp>
                      <wps:cNvCnPr>
                        <a:cxnSpLocks noChangeShapeType="1"/>
                      </wps:cNvCnPr>
                      <wps:spPr bwMode="auto">
                        <a:xfrm>
                          <a:off x="0" y="0"/>
                          <a:ext cx="5843270" cy="0"/>
                        </a:xfrm>
                        <a:prstGeom prst="line">
                          <a:avLst/>
                        </a:prstGeom>
                        <a:noFill/>
                        <a:ln w="9525">
                          <a:solidFill>
                            <a:srgbClr val="000000"/>
                          </a:solidFill>
                          <a:round/>
                        </a:ln>
                      </wps:spPr>
                      <wps:bodyPr/>
                    </wps:wsp>
                  </a:graphicData>
                </a:graphic>
              </wp:anchor>
            </w:drawing>
          </mc:Choice>
          <mc:Fallback>
            <w:pict>
              <v:line id="Line 10" o:spid="_x0000_s1026" o:spt="20" style="position:absolute;left:0pt;margin-left:3pt;margin-top:728.5pt;height:0pt;width:460.1pt;mso-position-vertical-relative:page;z-index:251659264;mso-width-relative:page;mso-height-relative:page;" filled="f" stroked="t" coordsize="21600,21600" o:gfxdata="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HfaDrDWAAAACwEAAA8AAAAAAAAAAQAgAAAAIgAAAGRycy9k&#10;b3ducmV2LnhtbFBLAQIUABQAAAAIAIdO4kCDxdZVywEAAKADAAAOAAAAAAAAAAEAIAAAACUBAABk&#10;cnMvZTJvRG9jLnhtbFBLBQYAAAAABgAGAFkBAABiBQAAAAA=&#10;">
                <v:fill on="f" focussize="0,0"/>
                <v:stroke color="#000000" joinstyle="round"/>
                <v:imagedata o:title=""/>
                <o:lock v:ext="edit" aspectratio="f"/>
                <w10:anchorlock/>
              </v:line>
            </w:pict>
          </mc:Fallback>
        </mc:AlternateContent>
      </w:r>
    </w:p>
    <w:p>
      <w:pPr>
        <w:pStyle w:val="131"/>
        <w:framePr w:wrap="around"/>
        <w:ind w:right="560"/>
        <w:jc w:val="both"/>
      </w:pPr>
      <w:r>
        <w:rPr>
          <w:rFonts w:hint="eastAsia" w:ascii="黑体"/>
        </w:rPr>
        <w:t>2023</w:t>
      </w:r>
      <w:r>
        <w:t xml:space="preserve"> </w:t>
      </w:r>
      <w:r>
        <w:rPr>
          <w:rFonts w:ascii="黑体"/>
        </w:rPr>
        <w:t>-</w:t>
      </w:r>
      <w:r>
        <w:t xml:space="preserve"> </w:t>
      </w:r>
      <w:bookmarkStart w:id="6" w:name="SM"/>
      <w:r>
        <w:rPr>
          <w:rFonts w:ascii="黑体"/>
        </w:rPr>
        <w:fldChar w:fldCharType="begin">
          <w:ffData>
            <w:name w:val="S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6"/>
      <w:r>
        <w:t xml:space="preserve"> </w:t>
      </w:r>
      <w:r>
        <w:rPr>
          <w:rFonts w:ascii="黑体"/>
        </w:rPr>
        <w:t>-</w:t>
      </w:r>
      <w:r>
        <w:t xml:space="preserve"> </w:t>
      </w:r>
      <w:bookmarkStart w:id="7" w:name="SD"/>
      <w:r>
        <w:rPr>
          <w:rFonts w:ascii="黑体"/>
        </w:rPr>
        <w:fldChar w:fldCharType="begin">
          <w:ffData>
            <w:name w:val="S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7"/>
      <w:r>
        <w:rPr>
          <w:rFonts w:hint="eastAsia"/>
        </w:rPr>
        <w:t>实施</w:t>
      </w:r>
    </w:p>
    <w:p>
      <w:pPr>
        <w:pStyle w:val="111"/>
        <w:framePr w:wrap="around"/>
      </w:pPr>
      <w:r>
        <w:rPr>
          <w:rFonts w:hint="eastAsia"/>
        </w:rPr>
        <w:t>宿迁市市场监督管理局</w:t>
      </w:r>
      <w:r>
        <w:t> </w:t>
      </w:r>
      <w:r>
        <w:rPr>
          <w:rStyle w:val="73"/>
          <w:rFonts w:hint="eastAsia"/>
        </w:rPr>
        <w:t>发布</w:t>
      </w:r>
    </w:p>
    <w:p>
      <w:pPr>
        <w:pStyle w:val="24"/>
        <w:sectPr>
          <w:pgSz w:w="11906" w:h="16838"/>
          <w:pgMar w:top="567" w:right="850" w:bottom="1134" w:left="1418" w:header="0" w:footer="0" w:gutter="0"/>
          <w:pgNumType w:start="1"/>
          <w:cols w:space="425" w:num="1"/>
          <w:docGrid w:type="lines" w:linePitch="312" w:charSpace="0"/>
        </w:sectPr>
      </w:pPr>
      <w: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2339975</wp:posOffset>
                </wp:positionV>
                <wp:extent cx="6120130" cy="0"/>
                <wp:effectExtent l="8890" t="6350" r="5080" b="12700"/>
                <wp:wrapNone/>
                <wp:docPr id="1" name="Line 1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1" o:spid="_x0000_s1026" o:spt="20" style="position:absolute;left:0pt;margin-left:-0.05pt;margin-top:184.25pt;height:0pt;width:481.9pt;z-index:25166028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CQeJf1wAAAAkBAAAPAAAAAAAAAAEAIAAAACIAAABkcnMvZG93&#10;bnJldi54bWxQSwECFAAUAAAACACHTuJAaX8Ks8gBAACgAwAADgAAAAAAAAABACAAAAAmAQAAZHJz&#10;L2Uyb0RvYy54bWxQSwUGAAAAAAYABgBZAQAAYAUAAAAA&#10;">
                <v:fill on="f" focussize="0,0"/>
                <v:stroke color="#000000" joinstyle="round"/>
                <v:imagedata o:title=""/>
                <o:lock v:ext="edit" aspectratio="f"/>
              </v:line>
            </w:pict>
          </mc:Fallback>
        </mc:AlternateContent>
      </w:r>
    </w:p>
    <w:p>
      <w:pPr>
        <w:pStyle w:val="112"/>
      </w:pPr>
      <w:r>
        <w:rPr>
          <w:rFonts w:hint="eastAsia"/>
        </w:rPr>
        <w:t>前</w:t>
      </w:r>
      <w:bookmarkStart w:id="8" w:name="BKQY"/>
      <w:r>
        <w:t>  </w:t>
      </w:r>
      <w:r>
        <w:rPr>
          <w:rFonts w:hint="eastAsia"/>
        </w:rPr>
        <w:t>言</w:t>
      </w:r>
      <w:bookmarkEnd w:id="8"/>
    </w:p>
    <w:p>
      <w:pPr>
        <w:pStyle w:val="24"/>
      </w:pPr>
      <w:r>
        <w:rPr>
          <w:rFonts w:hint="eastAsia"/>
        </w:rPr>
        <w:t>本文件按GB/T 1.1-2020《标准化工作导则 第1部分：标准化文件的结构和起草规则》进行编写。</w:t>
      </w:r>
    </w:p>
    <w:p>
      <w:pPr>
        <w:pStyle w:val="24"/>
      </w:pPr>
      <w:r>
        <w:rPr>
          <w:rFonts w:hint="eastAsia"/>
        </w:rPr>
        <w:t>附录A为规范性附录。</w:t>
      </w:r>
    </w:p>
    <w:p>
      <w:pPr>
        <w:pStyle w:val="24"/>
      </w:pPr>
      <w:r>
        <w:rPr>
          <w:rFonts w:hint="eastAsia"/>
        </w:rPr>
        <w:t>本文件由宿迁市市场监督管理局提出并归口。</w:t>
      </w:r>
    </w:p>
    <w:p>
      <w:pPr>
        <w:pStyle w:val="24"/>
      </w:pPr>
      <w:r>
        <w:rPr>
          <w:rFonts w:hint="eastAsia"/>
        </w:rPr>
        <w:t>本文件起草单位：宿迁市市场监督管理局、中共宿迁市委网络安全和信息化委员会办公室、宿迁市电子商务（网商）协会、北京信思网络科技有限公司、江苏邦启安网络科技有限公司。</w:t>
      </w:r>
    </w:p>
    <w:p>
      <w:pPr>
        <w:pStyle w:val="31"/>
        <w:widowControl/>
        <w:ind w:firstLine="420"/>
        <w:rPr>
          <w:sz w:val="21"/>
          <w:szCs w:val="21"/>
        </w:rPr>
      </w:pPr>
      <w:r>
        <w:rPr>
          <w:rFonts w:hint="eastAsia" w:ascii="宋体" w:hAnsi="宋体" w:cs="宋体"/>
          <w:color w:val="333333"/>
          <w:sz w:val="21"/>
          <w:szCs w:val="21"/>
        </w:rPr>
        <w:t>本文件主要起草人：陈文兵、王莉莉、胡刚、赵登明、王清柏、张玉辉。</w:t>
      </w:r>
    </w:p>
    <w:p>
      <w:pPr>
        <w:pStyle w:val="24"/>
      </w:pPr>
    </w:p>
    <w:p>
      <w:pPr>
        <w:pStyle w:val="24"/>
        <w:sectPr>
          <w:headerReference r:id="rId3" w:type="default"/>
          <w:footerReference r:id="rId4" w:type="default"/>
          <w:pgSz w:w="11906" w:h="16838"/>
          <w:pgMar w:top="567" w:right="1134" w:bottom="1134" w:left="1418" w:header="1418" w:footer="1134" w:gutter="0"/>
          <w:pgNumType w:fmt="upperRoman" w:start="1"/>
          <w:cols w:space="425" w:num="1"/>
          <w:formProt w:val="0"/>
          <w:docGrid w:type="lines" w:linePitch="312" w:charSpace="0"/>
        </w:sectPr>
      </w:pPr>
    </w:p>
    <w:p>
      <w:pPr>
        <w:pStyle w:val="50"/>
      </w:pPr>
      <w:r>
        <w:rPr>
          <w:rFonts w:hint="eastAsia"/>
        </w:rPr>
        <w:t>网络交易经营者信用风险分类管理规范</w:t>
      </w:r>
    </w:p>
    <w:p>
      <w:pPr>
        <w:pStyle w:val="3"/>
        <w:keepNext w:val="0"/>
        <w:keepLines w:val="0"/>
        <w:widowControl/>
        <w:numPr>
          <w:ilvl w:val="0"/>
          <w:numId w:val="18"/>
        </w:numPr>
        <w:suppressLineNumbers w:val="0"/>
        <w:spacing w:before="312" w:beforeAutospacing="0" w:after="312" w:afterAutospacing="0" w:line="240" w:lineRule="auto"/>
        <w:ind w:left="0"/>
        <w:jc w:val="both"/>
        <w:rPr>
          <w:sz w:val="21"/>
          <w:szCs w:val="21"/>
        </w:rPr>
      </w:pPr>
      <w:r>
        <w:rPr>
          <w:rFonts w:hint="eastAsia" w:ascii="黑体" w:hAnsi="宋体" w:eastAsia="黑体" w:cs="黑体"/>
          <w:b w:val="0"/>
          <w:bCs w:val="0"/>
          <w:i w:val="0"/>
          <w:iCs w:val="0"/>
          <w:color w:val="333333"/>
          <w:spacing w:val="0"/>
          <w:w w:val="100"/>
          <w:sz w:val="21"/>
          <w:szCs w:val="21"/>
          <w:vertAlign w:val="baseline"/>
        </w:rPr>
        <w:t>范围</w:t>
      </w:r>
    </w:p>
    <w:p>
      <w:pPr>
        <w:pStyle w:val="31"/>
        <w:keepNext w:val="0"/>
        <w:keepLines w:val="0"/>
        <w:widowControl/>
        <w:suppressLineNumbers w:val="0"/>
        <w:spacing w:before="0" w:beforeAutospacing="0" w:after="0" w:afterAutospacing="0" w:line="240" w:lineRule="auto"/>
        <w:ind w:left="0" w:right="0" w:firstLine="420"/>
        <w:jc w:val="both"/>
        <w:rPr>
          <w:sz w:val="21"/>
          <w:szCs w:val="21"/>
        </w:rPr>
      </w:pPr>
      <w:r>
        <w:rPr>
          <w:rFonts w:hint="eastAsia" w:ascii="宋体" w:hAnsi="宋体" w:eastAsia="宋体" w:cs="宋体"/>
          <w:b w:val="0"/>
          <w:bCs w:val="0"/>
          <w:i w:val="0"/>
          <w:iCs w:val="0"/>
          <w:color w:val="333333"/>
          <w:spacing w:val="0"/>
          <w:w w:val="100"/>
          <w:sz w:val="21"/>
          <w:szCs w:val="21"/>
          <w:vertAlign w:val="baseline"/>
        </w:rPr>
        <w:t>本文件规定了网络交易经营者信用风险分类管理的术语和定义、总则、信用信息采集、信用风险分类、信用风险分类管理。</w:t>
      </w:r>
    </w:p>
    <w:p>
      <w:pPr>
        <w:pStyle w:val="31"/>
        <w:keepNext w:val="0"/>
        <w:keepLines w:val="0"/>
        <w:widowControl/>
        <w:suppressLineNumbers w:val="0"/>
        <w:spacing w:before="0" w:beforeAutospacing="0" w:after="0" w:afterAutospacing="0" w:line="240" w:lineRule="auto"/>
        <w:ind w:left="0" w:right="0" w:firstLine="420"/>
        <w:jc w:val="both"/>
        <w:rPr>
          <w:sz w:val="21"/>
          <w:szCs w:val="21"/>
        </w:rPr>
      </w:pPr>
      <w:r>
        <w:rPr>
          <w:rFonts w:hint="eastAsia" w:ascii="宋体" w:hAnsi="宋体" w:eastAsia="宋体" w:cs="宋体"/>
          <w:b w:val="0"/>
          <w:bCs w:val="0"/>
          <w:i w:val="0"/>
          <w:iCs w:val="0"/>
          <w:color w:val="333333"/>
          <w:spacing w:val="0"/>
          <w:w w:val="100"/>
          <w:sz w:val="21"/>
          <w:szCs w:val="21"/>
          <w:vertAlign w:val="baseline"/>
        </w:rPr>
        <w:t>本文件适用于“双随机、一公开”等监管工作，作为配置监管资源的参考依据，不作为对网络交易经营者的信用评价。</w:t>
      </w:r>
    </w:p>
    <w:p>
      <w:pPr>
        <w:pStyle w:val="31"/>
        <w:keepNext w:val="0"/>
        <w:keepLines w:val="0"/>
        <w:widowControl/>
        <w:suppressLineNumbers w:val="0"/>
        <w:spacing w:before="0" w:beforeAutospacing="0" w:after="0" w:afterAutospacing="0" w:line="240" w:lineRule="auto"/>
        <w:ind w:left="0" w:right="0" w:firstLine="420"/>
        <w:jc w:val="both"/>
        <w:rPr>
          <w:sz w:val="21"/>
          <w:szCs w:val="21"/>
        </w:rPr>
      </w:pPr>
      <w:r>
        <w:rPr>
          <w:rFonts w:hint="eastAsia" w:ascii="宋体" w:hAnsi="宋体" w:eastAsia="宋体" w:cs="宋体"/>
          <w:b w:val="0"/>
          <w:bCs w:val="0"/>
          <w:i w:val="0"/>
          <w:iCs w:val="0"/>
          <w:color w:val="333333"/>
          <w:spacing w:val="0"/>
          <w:w w:val="100"/>
          <w:sz w:val="21"/>
          <w:szCs w:val="21"/>
          <w:vertAlign w:val="baseline"/>
        </w:rPr>
        <w:t>本文件适用于本市行政区域范围内，通过互联网等信息网络销售商品或者提供服务的网络交易经营者的信用风险分类管理。本市通过网络社交、网络直播等其他网络服务开展网络交易活动的网络交易经营者信用风险分类管理参照本文件执行。</w:t>
      </w:r>
    </w:p>
    <w:p>
      <w:pPr>
        <w:pStyle w:val="3"/>
        <w:keepNext w:val="0"/>
        <w:keepLines w:val="0"/>
        <w:widowControl/>
        <w:numPr>
          <w:ilvl w:val="0"/>
          <w:numId w:val="18"/>
        </w:numPr>
        <w:suppressLineNumbers w:val="0"/>
        <w:spacing w:before="312" w:beforeAutospacing="0" w:after="312" w:afterAutospacing="0" w:line="240" w:lineRule="auto"/>
        <w:ind w:left="0"/>
        <w:jc w:val="both"/>
        <w:rPr>
          <w:sz w:val="21"/>
          <w:szCs w:val="21"/>
        </w:rPr>
      </w:pPr>
      <w:r>
        <w:rPr>
          <w:rFonts w:hint="eastAsia" w:ascii="黑体" w:hAnsi="宋体" w:eastAsia="黑体" w:cs="黑体"/>
          <w:b w:val="0"/>
          <w:bCs w:val="0"/>
          <w:i w:val="0"/>
          <w:iCs w:val="0"/>
          <w:color w:val="333333"/>
          <w:spacing w:val="0"/>
          <w:w w:val="100"/>
          <w:sz w:val="21"/>
          <w:szCs w:val="21"/>
          <w:vertAlign w:val="baseline"/>
        </w:rPr>
        <w:t>规范性引用文件</w:t>
      </w:r>
    </w:p>
    <w:p>
      <w:pPr>
        <w:pStyle w:val="31"/>
        <w:keepNext w:val="0"/>
        <w:keepLines w:val="0"/>
        <w:widowControl/>
        <w:suppressLineNumbers w:val="0"/>
        <w:spacing w:before="0" w:beforeAutospacing="0" w:after="0" w:afterAutospacing="0" w:line="240" w:lineRule="auto"/>
        <w:ind w:left="0" w:right="0" w:firstLine="420"/>
        <w:jc w:val="both"/>
        <w:rPr>
          <w:sz w:val="21"/>
          <w:szCs w:val="21"/>
        </w:rPr>
      </w:pPr>
      <w:r>
        <w:rPr>
          <w:rFonts w:hint="eastAsia" w:ascii="宋体" w:hAnsi="宋体" w:eastAsia="宋体" w:cs="宋体"/>
          <w:b w:val="0"/>
          <w:bCs w:val="0"/>
          <w:i w:val="0"/>
          <w:iCs w:val="0"/>
          <w:color w:val="333333"/>
          <w:spacing w:val="0"/>
          <w:w w:val="100"/>
          <w:sz w:val="21"/>
          <w:szCs w:val="21"/>
          <w:vertAlign w:val="baseline"/>
        </w:rPr>
        <w:t>下列文件中的内容通过文中的规范性引用而构成本文件必不可少的条款。其中注日期的引用文件，仅该日期对应的版本适用于本文件；不注日期的引用文件，其最新版本（包括所有修改单）适用于本文件。</w:t>
      </w:r>
    </w:p>
    <w:p>
      <w:pPr>
        <w:pStyle w:val="31"/>
        <w:keepNext w:val="0"/>
        <w:keepLines w:val="0"/>
        <w:widowControl/>
        <w:suppressLineNumbers w:val="0"/>
        <w:spacing w:before="0" w:beforeAutospacing="0" w:after="0" w:afterAutospacing="0" w:line="240" w:lineRule="auto"/>
        <w:ind w:left="0" w:right="0" w:firstLine="420"/>
        <w:jc w:val="both"/>
      </w:pPr>
      <w:r>
        <w:rPr>
          <w:rFonts w:hint="eastAsia" w:ascii="宋体" w:hAnsi="宋体" w:eastAsia="宋体" w:cs="宋体"/>
          <w:b w:val="0"/>
          <w:bCs w:val="0"/>
          <w:i w:val="0"/>
          <w:iCs w:val="0"/>
          <w:color w:val="333333"/>
          <w:spacing w:val="0"/>
          <w:w w:val="100"/>
          <w:sz w:val="21"/>
          <w:szCs w:val="21"/>
          <w:vertAlign w:val="baseline"/>
        </w:rPr>
        <w:t>GB/T 35273-2020    《信息安全技术 个人信息安全规范》</w:t>
      </w:r>
    </w:p>
    <w:p>
      <w:pPr>
        <w:pStyle w:val="3"/>
        <w:keepNext w:val="0"/>
        <w:keepLines w:val="0"/>
        <w:widowControl/>
        <w:numPr>
          <w:ilvl w:val="0"/>
          <w:numId w:val="18"/>
        </w:numPr>
        <w:suppressLineNumbers w:val="0"/>
        <w:spacing w:before="312" w:beforeAutospacing="0" w:after="312" w:afterAutospacing="0" w:line="240" w:lineRule="auto"/>
        <w:ind w:left="0"/>
        <w:jc w:val="both"/>
        <w:rPr>
          <w:sz w:val="21"/>
          <w:szCs w:val="21"/>
        </w:rPr>
      </w:pPr>
      <w:r>
        <w:rPr>
          <w:rFonts w:hint="eastAsia" w:ascii="黑体" w:hAnsi="宋体" w:eastAsia="黑体" w:cs="黑体"/>
          <w:b w:val="0"/>
          <w:bCs w:val="0"/>
          <w:i w:val="0"/>
          <w:iCs w:val="0"/>
          <w:color w:val="333333"/>
          <w:spacing w:val="0"/>
          <w:w w:val="100"/>
          <w:sz w:val="21"/>
          <w:szCs w:val="21"/>
          <w:vertAlign w:val="baseline"/>
        </w:rPr>
        <w:t>术语和定义</w:t>
      </w:r>
    </w:p>
    <w:p>
      <w:pPr>
        <w:pStyle w:val="31"/>
        <w:keepNext w:val="0"/>
        <w:keepLines w:val="0"/>
        <w:widowControl/>
        <w:suppressLineNumbers w:val="0"/>
        <w:spacing w:before="0" w:beforeAutospacing="0" w:after="0" w:afterAutospacing="0" w:line="240" w:lineRule="auto"/>
        <w:ind w:left="0" w:right="0" w:firstLine="420"/>
        <w:jc w:val="both"/>
        <w:rPr>
          <w:sz w:val="21"/>
          <w:szCs w:val="21"/>
        </w:rPr>
      </w:pPr>
      <w:r>
        <w:rPr>
          <w:rFonts w:hint="eastAsia" w:ascii="宋体" w:hAnsi="宋体" w:eastAsia="宋体" w:cs="宋体"/>
          <w:b w:val="0"/>
          <w:bCs w:val="0"/>
          <w:i w:val="0"/>
          <w:iCs w:val="0"/>
          <w:color w:val="333333"/>
          <w:spacing w:val="0"/>
          <w:w w:val="100"/>
          <w:sz w:val="21"/>
          <w:szCs w:val="21"/>
          <w:vertAlign w:val="baseline"/>
        </w:rPr>
        <w:t>下列术语和定义适用于本文件。</w:t>
      </w:r>
    </w:p>
    <w:p>
      <w:pPr>
        <w:pStyle w:val="4"/>
        <w:keepNext w:val="0"/>
        <w:keepLines w:val="0"/>
        <w:widowControl/>
        <w:numPr>
          <w:ilvl w:val="1"/>
          <w:numId w:val="18"/>
        </w:numPr>
        <w:suppressLineNumbers w:val="0"/>
        <w:spacing w:before="156" w:beforeAutospacing="0" w:after="156" w:afterAutospacing="0" w:line="240" w:lineRule="auto"/>
        <w:ind w:left="0"/>
        <w:jc w:val="both"/>
        <w:rPr>
          <w:sz w:val="21"/>
          <w:szCs w:val="21"/>
        </w:rPr>
      </w:pPr>
      <w:r>
        <w:rPr>
          <w:sz w:val="21"/>
          <w:szCs w:val="21"/>
        </w:rPr>
        <w:t xml:space="preserve"> </w:t>
      </w:r>
    </w:p>
    <w:p>
      <w:pPr>
        <w:pStyle w:val="31"/>
        <w:keepNext w:val="0"/>
        <w:keepLines w:val="0"/>
        <w:widowControl/>
        <w:suppressLineNumbers w:val="0"/>
        <w:spacing w:before="0" w:beforeAutospacing="0" w:after="0" w:afterAutospacing="0" w:line="240" w:lineRule="auto"/>
        <w:ind w:left="0" w:right="0" w:firstLine="420"/>
        <w:jc w:val="both"/>
        <w:rPr>
          <w:sz w:val="21"/>
          <w:szCs w:val="21"/>
        </w:rPr>
      </w:pPr>
      <w:r>
        <w:rPr>
          <w:rFonts w:hint="eastAsia" w:ascii="黑体" w:hAnsi="宋体" w:eastAsia="黑体" w:cs="黑体"/>
          <w:b w:val="0"/>
          <w:bCs w:val="0"/>
          <w:i w:val="0"/>
          <w:iCs w:val="0"/>
          <w:color w:val="333333"/>
          <w:spacing w:val="0"/>
          <w:w w:val="100"/>
          <w:sz w:val="21"/>
          <w:szCs w:val="21"/>
          <w:vertAlign w:val="baseline"/>
        </w:rPr>
        <w:t>网络交易经营者 Online trade operator</w:t>
      </w:r>
    </w:p>
    <w:p>
      <w:pPr>
        <w:pStyle w:val="31"/>
        <w:keepNext w:val="0"/>
        <w:keepLines w:val="0"/>
        <w:widowControl/>
        <w:suppressLineNumbers w:val="0"/>
        <w:spacing w:before="0" w:beforeAutospacing="0" w:after="0" w:afterAutospacing="0" w:line="240" w:lineRule="auto"/>
        <w:ind w:left="0" w:right="0" w:firstLine="420"/>
        <w:jc w:val="both"/>
        <w:rPr>
          <w:sz w:val="21"/>
          <w:szCs w:val="21"/>
        </w:rPr>
      </w:pPr>
      <w:r>
        <w:rPr>
          <w:rFonts w:hint="eastAsia" w:ascii="宋体" w:hAnsi="宋体" w:eastAsia="宋体" w:cs="宋体"/>
          <w:b w:val="0"/>
          <w:bCs w:val="0"/>
          <w:i w:val="0"/>
          <w:iCs w:val="0"/>
          <w:color w:val="333333"/>
          <w:spacing w:val="0"/>
          <w:w w:val="100"/>
          <w:sz w:val="21"/>
          <w:szCs w:val="21"/>
          <w:vertAlign w:val="baseline"/>
        </w:rPr>
        <w:t>是指组织、开展网络交易活动的自然人、法人和非法人组织，包括网络交易平台经营者、平台内经营者和自建网站经营者。</w:t>
      </w:r>
    </w:p>
    <w:p>
      <w:pPr>
        <w:pStyle w:val="4"/>
        <w:keepNext w:val="0"/>
        <w:keepLines w:val="0"/>
        <w:widowControl/>
        <w:numPr>
          <w:ilvl w:val="1"/>
          <w:numId w:val="18"/>
        </w:numPr>
        <w:suppressLineNumbers w:val="0"/>
        <w:spacing w:before="156" w:beforeAutospacing="0" w:after="156" w:afterAutospacing="0" w:line="240" w:lineRule="auto"/>
        <w:ind w:left="0"/>
        <w:jc w:val="both"/>
        <w:rPr>
          <w:sz w:val="21"/>
          <w:szCs w:val="21"/>
        </w:rPr>
      </w:pPr>
      <w:r>
        <w:rPr>
          <w:sz w:val="21"/>
          <w:szCs w:val="21"/>
        </w:rPr>
        <w:t xml:space="preserve"> </w:t>
      </w:r>
    </w:p>
    <w:p>
      <w:pPr>
        <w:pStyle w:val="31"/>
        <w:keepNext w:val="0"/>
        <w:keepLines w:val="0"/>
        <w:widowControl/>
        <w:suppressLineNumbers w:val="0"/>
        <w:spacing w:before="0" w:beforeAutospacing="0" w:after="0" w:afterAutospacing="0" w:line="240" w:lineRule="auto"/>
        <w:ind w:left="0" w:right="0" w:firstLine="420"/>
        <w:jc w:val="both"/>
        <w:rPr>
          <w:sz w:val="21"/>
          <w:szCs w:val="21"/>
        </w:rPr>
      </w:pPr>
      <w:r>
        <w:rPr>
          <w:rFonts w:hint="eastAsia" w:ascii="黑体" w:hAnsi="宋体" w:eastAsia="黑体" w:cs="黑体"/>
          <w:b w:val="0"/>
          <w:bCs w:val="0"/>
          <w:i w:val="0"/>
          <w:iCs w:val="0"/>
          <w:color w:val="333333"/>
          <w:spacing w:val="0"/>
          <w:w w:val="100"/>
          <w:sz w:val="21"/>
          <w:szCs w:val="21"/>
          <w:vertAlign w:val="baseline"/>
        </w:rPr>
        <w:t>网络交易平台经营者 Online trade platform operator</w:t>
      </w:r>
    </w:p>
    <w:p>
      <w:pPr>
        <w:pStyle w:val="31"/>
        <w:keepNext w:val="0"/>
        <w:keepLines w:val="0"/>
        <w:widowControl/>
        <w:suppressLineNumbers w:val="0"/>
        <w:spacing w:before="0" w:beforeAutospacing="0" w:after="0" w:afterAutospacing="0" w:line="240" w:lineRule="auto"/>
        <w:ind w:left="0" w:right="0" w:firstLine="420"/>
        <w:jc w:val="both"/>
        <w:rPr>
          <w:sz w:val="21"/>
          <w:szCs w:val="21"/>
        </w:rPr>
      </w:pPr>
      <w:r>
        <w:rPr>
          <w:rFonts w:hint="eastAsia" w:ascii="宋体" w:hAnsi="宋体" w:eastAsia="宋体" w:cs="宋体"/>
          <w:b w:val="0"/>
          <w:bCs w:val="0"/>
          <w:i w:val="0"/>
          <w:iCs w:val="0"/>
          <w:color w:val="333333"/>
          <w:spacing w:val="0"/>
          <w:w w:val="100"/>
          <w:sz w:val="21"/>
          <w:szCs w:val="21"/>
          <w:vertAlign w:val="baseline"/>
        </w:rPr>
        <w:t>是指在网络交易活动中为交易双方或者多方提供网络经营场所、交易撮合、信息发布等服务，供交易双方或者多方独立开展网络交易活动</w:t>
      </w:r>
      <w:r>
        <w:rPr>
          <w:rFonts w:hint="eastAsia" w:ascii="宋体" w:hAnsi="宋体" w:cs="宋体"/>
          <w:b w:val="0"/>
          <w:bCs w:val="0"/>
          <w:i w:val="0"/>
          <w:iCs w:val="0"/>
          <w:color w:val="333333"/>
          <w:spacing w:val="0"/>
          <w:w w:val="100"/>
          <w:sz w:val="21"/>
          <w:szCs w:val="21"/>
          <w:vertAlign w:val="baseline"/>
          <w:lang w:eastAsia="zh-CN"/>
        </w:rPr>
        <w:t>（</w:t>
      </w:r>
      <w:r>
        <w:rPr>
          <w:rFonts w:hint="eastAsia" w:ascii="宋体" w:hAnsi="宋体" w:eastAsia="宋体" w:cs="宋体"/>
          <w:b w:val="0"/>
          <w:bCs w:val="0"/>
          <w:i w:val="0"/>
          <w:iCs w:val="0"/>
          <w:color w:val="333333"/>
          <w:spacing w:val="0"/>
          <w:w w:val="100"/>
          <w:sz w:val="21"/>
          <w:szCs w:val="21"/>
          <w:vertAlign w:val="baseline"/>
        </w:rPr>
        <w:t>包括网络商品零售、互联网广告服务等</w:t>
      </w:r>
      <w:r>
        <w:rPr>
          <w:rFonts w:hint="eastAsia" w:ascii="宋体" w:hAnsi="宋体" w:cs="宋体"/>
          <w:b w:val="0"/>
          <w:bCs w:val="0"/>
          <w:i w:val="0"/>
          <w:iCs w:val="0"/>
          <w:color w:val="333333"/>
          <w:spacing w:val="0"/>
          <w:w w:val="100"/>
          <w:sz w:val="21"/>
          <w:szCs w:val="21"/>
          <w:vertAlign w:val="baseline"/>
          <w:lang w:eastAsia="zh-CN"/>
        </w:rPr>
        <w:t>）</w:t>
      </w:r>
      <w:r>
        <w:rPr>
          <w:rFonts w:hint="eastAsia" w:ascii="宋体" w:hAnsi="宋体" w:eastAsia="宋体" w:cs="宋体"/>
          <w:b w:val="0"/>
          <w:bCs w:val="0"/>
          <w:i w:val="0"/>
          <w:iCs w:val="0"/>
          <w:color w:val="333333"/>
          <w:spacing w:val="0"/>
          <w:w w:val="100"/>
          <w:sz w:val="21"/>
          <w:szCs w:val="21"/>
          <w:vertAlign w:val="baseline"/>
        </w:rPr>
        <w:t>的法人或者非法人组织。</w:t>
      </w:r>
    </w:p>
    <w:p>
      <w:pPr>
        <w:pStyle w:val="4"/>
        <w:keepNext w:val="0"/>
        <w:keepLines w:val="0"/>
        <w:widowControl/>
        <w:numPr>
          <w:ilvl w:val="1"/>
          <w:numId w:val="18"/>
        </w:numPr>
        <w:suppressLineNumbers w:val="0"/>
        <w:spacing w:before="156" w:beforeAutospacing="0" w:after="156" w:afterAutospacing="0" w:line="240" w:lineRule="auto"/>
        <w:ind w:left="0"/>
        <w:jc w:val="both"/>
        <w:rPr>
          <w:sz w:val="21"/>
          <w:szCs w:val="21"/>
        </w:rPr>
      </w:pPr>
      <w:r>
        <w:rPr>
          <w:sz w:val="21"/>
          <w:szCs w:val="21"/>
        </w:rPr>
        <w:t xml:space="preserve"> </w:t>
      </w:r>
    </w:p>
    <w:p>
      <w:pPr>
        <w:pStyle w:val="31"/>
        <w:keepNext w:val="0"/>
        <w:keepLines w:val="0"/>
        <w:widowControl/>
        <w:suppressLineNumbers w:val="0"/>
        <w:spacing w:before="0" w:beforeAutospacing="0" w:after="0" w:afterAutospacing="0" w:line="240" w:lineRule="auto"/>
        <w:ind w:left="0" w:right="0" w:firstLine="420"/>
        <w:jc w:val="both"/>
        <w:rPr>
          <w:sz w:val="21"/>
          <w:szCs w:val="21"/>
        </w:rPr>
      </w:pPr>
      <w:r>
        <w:rPr>
          <w:rFonts w:hint="eastAsia" w:ascii="黑体" w:hAnsi="宋体" w:eastAsia="黑体" w:cs="黑体"/>
          <w:b w:val="0"/>
          <w:bCs w:val="0"/>
          <w:i w:val="0"/>
          <w:iCs w:val="0"/>
          <w:color w:val="333333"/>
          <w:spacing w:val="0"/>
          <w:w w:val="100"/>
          <w:sz w:val="21"/>
          <w:szCs w:val="21"/>
          <w:vertAlign w:val="baseline"/>
        </w:rPr>
        <w:t>平台内经营者 Operator on online trade platform</w:t>
      </w:r>
    </w:p>
    <w:p>
      <w:pPr>
        <w:pStyle w:val="31"/>
        <w:keepNext w:val="0"/>
        <w:keepLines w:val="0"/>
        <w:widowControl/>
        <w:suppressLineNumbers w:val="0"/>
        <w:spacing w:before="0" w:beforeAutospacing="0" w:after="0" w:afterAutospacing="0" w:line="360" w:lineRule="auto"/>
        <w:ind w:left="0" w:right="0" w:firstLine="420"/>
        <w:jc w:val="both"/>
      </w:pPr>
      <w:r>
        <w:rPr>
          <w:rFonts w:hint="eastAsia" w:ascii="宋体" w:hAnsi="宋体" w:eastAsia="宋体" w:cs="宋体"/>
          <w:b w:val="0"/>
          <w:bCs w:val="0"/>
          <w:i w:val="0"/>
          <w:iCs w:val="0"/>
          <w:color w:val="333333"/>
          <w:spacing w:val="0"/>
          <w:w w:val="100"/>
          <w:sz w:val="21"/>
          <w:szCs w:val="21"/>
          <w:vertAlign w:val="baseline"/>
        </w:rPr>
        <w:t>是指通过网络交易平台开展网络交易活动的网络交易经营者。</w:t>
      </w:r>
      <w:bookmarkStart w:id="9" w:name="_GoBack"/>
      <w:bookmarkEnd w:id="9"/>
    </w:p>
    <w:p>
      <w:pPr>
        <w:pStyle w:val="3"/>
        <w:keepNext w:val="0"/>
        <w:keepLines w:val="0"/>
        <w:widowControl/>
        <w:numPr>
          <w:ilvl w:val="0"/>
          <w:numId w:val="18"/>
        </w:numPr>
        <w:suppressLineNumbers w:val="0"/>
        <w:spacing w:before="312" w:beforeAutospacing="0" w:after="312" w:afterAutospacing="0" w:line="240" w:lineRule="auto"/>
        <w:ind w:left="0"/>
        <w:jc w:val="both"/>
        <w:rPr>
          <w:sz w:val="21"/>
          <w:szCs w:val="21"/>
        </w:rPr>
      </w:pPr>
      <w:r>
        <w:rPr>
          <w:sz w:val="21"/>
          <w:szCs w:val="21"/>
        </w:rPr>
        <w:t xml:space="preserve"> </w:t>
      </w:r>
      <w:r>
        <w:rPr>
          <w:rFonts w:hint="eastAsia" w:ascii="黑体" w:hAnsi="宋体" w:eastAsia="黑体" w:cs="黑体"/>
          <w:b w:val="0"/>
          <w:bCs w:val="0"/>
          <w:i w:val="0"/>
          <w:iCs w:val="0"/>
          <w:color w:val="333333"/>
          <w:spacing w:val="0"/>
          <w:w w:val="100"/>
          <w:sz w:val="21"/>
          <w:szCs w:val="21"/>
          <w:vertAlign w:val="baseline"/>
        </w:rPr>
        <w:t>总则</w:t>
      </w:r>
    </w:p>
    <w:p>
      <w:pPr>
        <w:pStyle w:val="4"/>
        <w:keepNext w:val="0"/>
        <w:keepLines w:val="0"/>
        <w:widowControl/>
        <w:numPr>
          <w:ilvl w:val="1"/>
          <w:numId w:val="18"/>
        </w:numPr>
        <w:suppressLineNumbers w:val="0"/>
        <w:spacing w:before="156" w:beforeAutospacing="0" w:after="156" w:afterAutospacing="0" w:line="240" w:lineRule="auto"/>
        <w:ind w:left="0"/>
        <w:jc w:val="both"/>
        <w:rPr>
          <w:sz w:val="21"/>
          <w:szCs w:val="21"/>
        </w:rPr>
      </w:pPr>
      <w:r>
        <w:rPr>
          <w:rFonts w:hint="eastAsia" w:ascii="宋体" w:hAnsi="宋体" w:eastAsia="宋体" w:cs="宋体"/>
          <w:b w:val="0"/>
          <w:bCs w:val="0"/>
          <w:i w:val="0"/>
          <w:iCs w:val="0"/>
          <w:color w:val="333333"/>
          <w:spacing w:val="0"/>
          <w:w w:val="100"/>
          <w:sz w:val="21"/>
          <w:szCs w:val="21"/>
          <w:vertAlign w:val="baseline"/>
        </w:rPr>
        <w:t>市市场监管局负责全市网络交易经营者信用风险分类管理工作的组织和实施，负责制定指标体系，归集和记录网络交易经营者信用信息，定期更新网络交易经营者信用风险分类。</w:t>
      </w:r>
    </w:p>
    <w:p>
      <w:pPr>
        <w:pStyle w:val="4"/>
        <w:keepNext w:val="0"/>
        <w:keepLines w:val="0"/>
        <w:widowControl/>
        <w:numPr>
          <w:ilvl w:val="1"/>
          <w:numId w:val="18"/>
        </w:numPr>
        <w:suppressLineNumbers w:val="0"/>
        <w:spacing w:before="156" w:beforeAutospacing="0" w:after="156" w:afterAutospacing="0" w:line="240" w:lineRule="auto"/>
        <w:ind w:left="0"/>
        <w:jc w:val="both"/>
        <w:rPr>
          <w:sz w:val="21"/>
          <w:szCs w:val="21"/>
        </w:rPr>
      </w:pPr>
      <w:r>
        <w:rPr>
          <w:rFonts w:hint="eastAsia" w:ascii="宋体" w:hAnsi="宋体" w:eastAsia="宋体" w:cs="宋体"/>
          <w:b w:val="0"/>
          <w:bCs w:val="0"/>
          <w:i w:val="0"/>
          <w:iCs w:val="0"/>
          <w:color w:val="333333"/>
          <w:spacing w:val="0"/>
          <w:w w:val="100"/>
          <w:sz w:val="21"/>
          <w:szCs w:val="21"/>
          <w:vertAlign w:val="baseline"/>
        </w:rPr>
        <w:t>市委宣传部、市委网信办、市发展改革委、市工业和信息化局、市公安局、市商务局、市文化广电和旅游局、市自然资源和规划局（林业局）、省药监局宿迁检查分局、市税务局、人民银行宿迁市中心支行、宿迁海关、江苏省宿迁通信行业管理办公室、市邮政管理局等宿迁市网络市场监管部门联席会议成员单位按照职责配合做好信用信息录入和信用风险分类管理工作。</w:t>
      </w:r>
    </w:p>
    <w:p>
      <w:pPr>
        <w:pStyle w:val="3"/>
        <w:keepNext w:val="0"/>
        <w:keepLines w:val="0"/>
        <w:widowControl/>
        <w:numPr>
          <w:ilvl w:val="0"/>
          <w:numId w:val="18"/>
        </w:numPr>
        <w:suppressLineNumbers w:val="0"/>
        <w:spacing w:before="312" w:beforeAutospacing="0" w:after="312" w:afterAutospacing="0" w:line="240" w:lineRule="auto"/>
        <w:ind w:left="0"/>
        <w:jc w:val="both"/>
        <w:rPr>
          <w:sz w:val="21"/>
          <w:szCs w:val="21"/>
        </w:rPr>
      </w:pPr>
      <w:r>
        <w:rPr>
          <w:sz w:val="21"/>
          <w:szCs w:val="21"/>
        </w:rPr>
        <w:t xml:space="preserve"> </w:t>
      </w:r>
      <w:r>
        <w:rPr>
          <w:rFonts w:hint="eastAsia" w:ascii="黑体" w:hAnsi="宋体" w:eastAsia="黑体" w:cs="黑体"/>
          <w:b/>
          <w:bCs/>
          <w:i w:val="0"/>
          <w:iCs w:val="0"/>
          <w:color w:val="333333"/>
          <w:spacing w:val="0"/>
          <w:w w:val="100"/>
          <w:sz w:val="21"/>
          <w:szCs w:val="21"/>
          <w:vertAlign w:val="baseline"/>
        </w:rPr>
        <w:t>信用信息采集</w:t>
      </w:r>
    </w:p>
    <w:p>
      <w:pPr>
        <w:pStyle w:val="31"/>
        <w:keepNext w:val="0"/>
        <w:keepLines w:val="0"/>
        <w:widowControl/>
        <w:suppressLineNumbers w:val="0"/>
        <w:spacing w:before="0" w:beforeAutospacing="0" w:after="0" w:afterAutospacing="0" w:line="240" w:lineRule="auto"/>
        <w:ind w:left="0" w:right="0" w:firstLine="420" w:firstLineChars="200"/>
        <w:jc w:val="both"/>
      </w:pPr>
      <w:r>
        <w:rPr>
          <w:rFonts w:hint="eastAsia" w:ascii="宋体" w:hAnsi="宋体" w:eastAsia="宋体" w:cs="宋体"/>
          <w:b w:val="0"/>
          <w:bCs w:val="0"/>
          <w:i w:val="0"/>
          <w:iCs w:val="0"/>
          <w:color w:val="333333"/>
          <w:spacing w:val="0"/>
          <w:w w:val="100"/>
          <w:sz w:val="21"/>
          <w:szCs w:val="21"/>
          <w:vertAlign w:val="baseline"/>
        </w:rPr>
        <w:t>个人信息处理活动应符合GB/T 35273-2020规定。</w:t>
      </w:r>
    </w:p>
    <w:p>
      <w:pPr>
        <w:pStyle w:val="4"/>
        <w:keepNext w:val="0"/>
        <w:keepLines w:val="0"/>
        <w:widowControl/>
        <w:numPr>
          <w:ilvl w:val="1"/>
          <w:numId w:val="18"/>
        </w:numPr>
        <w:suppressLineNumbers w:val="0"/>
        <w:spacing w:before="156" w:beforeAutospacing="0" w:after="156" w:afterAutospacing="0" w:line="240" w:lineRule="auto"/>
        <w:ind w:left="0"/>
        <w:jc w:val="both"/>
        <w:rPr>
          <w:sz w:val="21"/>
          <w:szCs w:val="21"/>
        </w:rPr>
      </w:pPr>
      <w:r>
        <w:rPr>
          <w:rFonts w:hint="eastAsia" w:ascii="宋体" w:hAnsi="宋体" w:eastAsia="宋体" w:cs="宋体"/>
          <w:b w:val="0"/>
          <w:bCs w:val="0"/>
          <w:i w:val="0"/>
          <w:iCs w:val="0"/>
          <w:color w:val="333333"/>
          <w:spacing w:val="0"/>
          <w:w w:val="100"/>
          <w:sz w:val="21"/>
          <w:szCs w:val="21"/>
          <w:vertAlign w:val="baseline"/>
        </w:rPr>
        <w:t>信息采集</w:t>
      </w:r>
    </w:p>
    <w:p>
      <w:pPr>
        <w:pStyle w:val="5"/>
        <w:keepNext w:val="0"/>
        <w:keepLines w:val="0"/>
        <w:widowControl/>
        <w:suppressLineNumbers w:val="0"/>
        <w:spacing w:before="50" w:beforeAutospacing="0" w:after="50" w:afterAutospacing="0" w:line="240" w:lineRule="auto"/>
        <w:ind w:left="0"/>
        <w:jc w:val="both"/>
        <w:rPr>
          <w:sz w:val="21"/>
          <w:szCs w:val="21"/>
        </w:rPr>
      </w:pPr>
      <w:r>
        <w:rPr>
          <w:rFonts w:hint="eastAsia" w:ascii="宋体" w:hAnsi="宋体" w:eastAsia="宋体" w:cs="宋体"/>
          <w:b w:val="0"/>
          <w:bCs w:val="0"/>
          <w:i w:val="0"/>
          <w:iCs w:val="0"/>
          <w:color w:val="333333"/>
          <w:spacing w:val="0"/>
          <w:w w:val="100"/>
          <w:sz w:val="21"/>
          <w:szCs w:val="21"/>
          <w:vertAlign w:val="baseline"/>
        </w:rPr>
        <w:t>5.1.1 市市场监管局以市场主体登记信息为基础，负责编制网络市场信用信息目录并归集市网络市场监管部门联席会议成员单位、行业协会、网络交易平台经营者、第三方信用服务机构（以下简称信息提供单位）产生和掌握的网络交易经营者信用信息，建立网络交易经营者信用档案。</w:t>
      </w:r>
    </w:p>
    <w:p>
      <w:pPr>
        <w:pStyle w:val="5"/>
        <w:keepNext w:val="0"/>
        <w:keepLines w:val="0"/>
        <w:widowControl/>
        <w:suppressLineNumbers w:val="0"/>
        <w:spacing w:before="50" w:beforeAutospacing="0" w:after="50" w:afterAutospacing="0" w:line="240" w:lineRule="auto"/>
        <w:ind w:left="0"/>
        <w:jc w:val="both"/>
        <w:rPr>
          <w:sz w:val="21"/>
          <w:szCs w:val="21"/>
        </w:rPr>
      </w:pPr>
      <w:r>
        <w:rPr>
          <w:rFonts w:hint="eastAsia" w:ascii="宋体" w:hAnsi="宋体" w:eastAsia="宋体" w:cs="宋体"/>
          <w:b w:val="0"/>
          <w:bCs w:val="0"/>
          <w:i w:val="0"/>
          <w:iCs w:val="0"/>
          <w:color w:val="333333"/>
          <w:spacing w:val="0"/>
          <w:w w:val="100"/>
          <w:sz w:val="21"/>
          <w:szCs w:val="21"/>
          <w:vertAlign w:val="baseline"/>
        </w:rPr>
        <w:t>5.1.2 信息提供单位应当及时、准确、完整地提供信用信息。</w:t>
      </w:r>
    </w:p>
    <w:p>
      <w:pPr>
        <w:pStyle w:val="4"/>
        <w:keepNext w:val="0"/>
        <w:keepLines w:val="0"/>
        <w:widowControl/>
        <w:numPr>
          <w:ilvl w:val="1"/>
          <w:numId w:val="18"/>
        </w:numPr>
        <w:suppressLineNumbers w:val="0"/>
        <w:spacing w:before="156" w:beforeAutospacing="0" w:after="156" w:afterAutospacing="0" w:line="240" w:lineRule="auto"/>
        <w:ind w:left="0"/>
        <w:jc w:val="both"/>
        <w:rPr>
          <w:sz w:val="21"/>
          <w:szCs w:val="21"/>
        </w:rPr>
      </w:pPr>
      <w:r>
        <w:rPr>
          <w:rFonts w:hint="eastAsia" w:ascii="黑体" w:hAnsi="宋体" w:eastAsia="黑体" w:cs="黑体"/>
          <w:b w:val="0"/>
          <w:bCs w:val="0"/>
          <w:i w:val="0"/>
          <w:iCs w:val="0"/>
          <w:color w:val="333333"/>
          <w:spacing w:val="0"/>
          <w:w w:val="100"/>
          <w:sz w:val="21"/>
          <w:szCs w:val="21"/>
          <w:vertAlign w:val="baseline"/>
        </w:rPr>
        <w:t>职责</w:t>
      </w:r>
    </w:p>
    <w:p>
      <w:pPr>
        <w:pStyle w:val="5"/>
        <w:keepNext w:val="0"/>
        <w:keepLines w:val="0"/>
        <w:widowControl/>
        <w:suppressLineNumbers w:val="0"/>
        <w:spacing w:before="50" w:beforeAutospacing="0" w:after="50" w:afterAutospacing="0" w:line="240" w:lineRule="auto"/>
        <w:ind w:left="0"/>
        <w:jc w:val="both"/>
        <w:rPr>
          <w:sz w:val="21"/>
          <w:szCs w:val="21"/>
        </w:rPr>
      </w:pPr>
      <w:r>
        <w:rPr>
          <w:rFonts w:hint="eastAsia" w:ascii="宋体" w:hAnsi="宋体" w:eastAsia="宋体" w:cs="宋体"/>
          <w:b w:val="0"/>
          <w:bCs w:val="0"/>
          <w:i w:val="0"/>
          <w:iCs w:val="0"/>
          <w:color w:val="333333"/>
          <w:spacing w:val="0"/>
          <w:w w:val="100"/>
          <w:sz w:val="21"/>
          <w:szCs w:val="21"/>
          <w:vertAlign w:val="baseline"/>
        </w:rPr>
        <w:t>5.2.1 市市场监管局负责提供网络交易经营者的市场主体登记（或免于登记）、行政许可、备案、资质资格认证、抽查检查结果、列入经营异常名录和严重违法失信企业名单、行政处罚、知识产权、信用承诺与践诺、投诉处理、信用修复等信用信息。</w:t>
      </w:r>
    </w:p>
    <w:p>
      <w:pPr>
        <w:pStyle w:val="5"/>
        <w:keepNext w:val="0"/>
        <w:keepLines w:val="0"/>
        <w:widowControl/>
        <w:suppressLineNumbers w:val="0"/>
        <w:spacing w:before="50" w:beforeAutospacing="0" w:after="50" w:afterAutospacing="0" w:line="240" w:lineRule="auto"/>
        <w:ind w:left="0"/>
        <w:jc w:val="both"/>
        <w:rPr>
          <w:sz w:val="21"/>
          <w:szCs w:val="21"/>
        </w:rPr>
      </w:pPr>
      <w:r>
        <w:rPr>
          <w:rFonts w:hint="eastAsia" w:ascii="宋体" w:hAnsi="宋体" w:eastAsia="宋体" w:cs="宋体"/>
          <w:b w:val="0"/>
          <w:bCs w:val="0"/>
          <w:i w:val="0"/>
          <w:iCs w:val="0"/>
          <w:color w:val="333333"/>
          <w:spacing w:val="0"/>
          <w:w w:val="100"/>
          <w:sz w:val="21"/>
          <w:szCs w:val="21"/>
          <w:vertAlign w:val="baseline"/>
        </w:rPr>
        <w:t>5.2.2 市网络市场监管部门联席会议的其他成员单位负责提供网络交易经营者在各行业或领域的信用承诺与践诺、行政许可、抽查检查结果、行政处罚、奖励表彰、失信惩戒、司法裁判及执行、信用修复、行业信用评价等信用信息。</w:t>
      </w:r>
    </w:p>
    <w:p>
      <w:pPr>
        <w:pStyle w:val="5"/>
        <w:keepNext w:val="0"/>
        <w:keepLines w:val="0"/>
        <w:widowControl/>
        <w:suppressLineNumbers w:val="0"/>
        <w:spacing w:before="50" w:beforeAutospacing="0" w:after="50" w:afterAutospacing="0" w:line="240" w:lineRule="auto"/>
        <w:ind w:left="0"/>
        <w:jc w:val="both"/>
        <w:rPr>
          <w:sz w:val="21"/>
          <w:szCs w:val="21"/>
        </w:rPr>
      </w:pPr>
      <w:r>
        <w:rPr>
          <w:rFonts w:hint="eastAsia" w:ascii="宋体" w:hAnsi="宋体" w:eastAsia="宋体" w:cs="宋体"/>
          <w:b w:val="0"/>
          <w:bCs w:val="0"/>
          <w:i w:val="0"/>
          <w:iCs w:val="0"/>
          <w:color w:val="333333"/>
          <w:spacing w:val="0"/>
          <w:w w:val="100"/>
          <w:sz w:val="21"/>
          <w:szCs w:val="21"/>
          <w:vertAlign w:val="baseline"/>
        </w:rPr>
        <w:t>5.2.3 行业协会负责提供网络交易经营者的行业自律型信用承诺与践诺、奖励表彰、行业评价等信用信息。</w:t>
      </w:r>
    </w:p>
    <w:p>
      <w:pPr>
        <w:pStyle w:val="5"/>
        <w:keepNext w:val="0"/>
        <w:keepLines w:val="0"/>
        <w:widowControl/>
        <w:suppressLineNumbers w:val="0"/>
        <w:spacing w:before="50" w:beforeAutospacing="0" w:after="50" w:afterAutospacing="0" w:line="240" w:lineRule="auto"/>
        <w:ind w:left="0"/>
        <w:jc w:val="both"/>
        <w:rPr>
          <w:sz w:val="21"/>
          <w:szCs w:val="21"/>
        </w:rPr>
      </w:pPr>
      <w:r>
        <w:rPr>
          <w:rFonts w:hint="eastAsia" w:ascii="宋体" w:hAnsi="宋体" w:eastAsia="宋体" w:cs="宋体"/>
          <w:b w:val="0"/>
          <w:bCs w:val="0"/>
          <w:i w:val="0"/>
          <w:iCs w:val="0"/>
          <w:color w:val="333333"/>
          <w:spacing w:val="0"/>
          <w:w w:val="100"/>
          <w:sz w:val="21"/>
          <w:szCs w:val="21"/>
          <w:vertAlign w:val="baseline"/>
        </w:rPr>
        <w:t>5.2.4 网络交易平台经营者协助提供平台内经营者的信用承诺与践诺、奖励表彰、失信惩戒、交易评价等信用信息。</w:t>
      </w:r>
    </w:p>
    <w:p>
      <w:pPr>
        <w:pStyle w:val="5"/>
        <w:keepNext w:val="0"/>
        <w:keepLines w:val="0"/>
        <w:widowControl/>
        <w:suppressLineNumbers w:val="0"/>
        <w:spacing w:before="50" w:beforeAutospacing="0" w:after="50" w:afterAutospacing="0" w:line="240" w:lineRule="auto"/>
        <w:ind w:left="0"/>
        <w:jc w:val="both"/>
        <w:rPr>
          <w:sz w:val="21"/>
          <w:szCs w:val="21"/>
        </w:rPr>
      </w:pPr>
      <w:r>
        <w:rPr>
          <w:rFonts w:hint="eastAsia" w:ascii="宋体" w:hAnsi="宋体" w:eastAsia="宋体" w:cs="宋体"/>
          <w:b w:val="0"/>
          <w:bCs w:val="0"/>
          <w:i w:val="0"/>
          <w:iCs w:val="0"/>
          <w:color w:val="333333"/>
          <w:spacing w:val="0"/>
          <w:w w:val="100"/>
          <w:sz w:val="21"/>
          <w:szCs w:val="21"/>
          <w:vertAlign w:val="baseline"/>
        </w:rPr>
        <w:t>5.2.5 第三方信用服务机构负责提供部分网络信用大数据作为补充。</w:t>
      </w:r>
    </w:p>
    <w:p>
      <w:pPr>
        <w:pStyle w:val="4"/>
        <w:keepNext w:val="0"/>
        <w:keepLines w:val="0"/>
        <w:widowControl/>
        <w:numPr>
          <w:ilvl w:val="1"/>
          <w:numId w:val="18"/>
        </w:numPr>
        <w:suppressLineNumbers w:val="0"/>
        <w:spacing w:before="156" w:beforeAutospacing="0" w:after="156" w:afterAutospacing="0" w:line="240" w:lineRule="auto"/>
        <w:ind w:left="0"/>
        <w:jc w:val="both"/>
        <w:rPr>
          <w:sz w:val="21"/>
          <w:szCs w:val="21"/>
        </w:rPr>
      </w:pPr>
      <w:r>
        <w:rPr>
          <w:rFonts w:hint="eastAsia" w:ascii="黑体" w:hAnsi="宋体" w:eastAsia="黑体" w:cs="黑体"/>
          <w:b w:val="0"/>
          <w:bCs w:val="0"/>
          <w:i w:val="0"/>
          <w:iCs w:val="0"/>
          <w:color w:val="333333"/>
          <w:spacing w:val="0"/>
          <w:w w:val="100"/>
          <w:sz w:val="21"/>
          <w:szCs w:val="21"/>
          <w:vertAlign w:val="baseline"/>
        </w:rPr>
        <w:t>建立信息</w:t>
      </w:r>
    </w:p>
    <w:p>
      <w:pPr>
        <w:pStyle w:val="31"/>
        <w:keepNext w:val="0"/>
        <w:keepLines w:val="0"/>
        <w:widowControl/>
        <w:suppressLineNumbers w:val="0"/>
        <w:spacing w:before="0" w:beforeAutospacing="0" w:after="0" w:afterAutospacing="0" w:line="240" w:lineRule="auto"/>
        <w:ind w:left="0" w:right="0" w:firstLine="420"/>
        <w:jc w:val="both"/>
        <w:rPr>
          <w:sz w:val="21"/>
          <w:szCs w:val="21"/>
        </w:rPr>
      </w:pPr>
      <w:r>
        <w:rPr>
          <w:rFonts w:hint="eastAsia" w:ascii="宋体" w:hAnsi="宋体" w:eastAsia="宋体" w:cs="宋体"/>
          <w:b w:val="0"/>
          <w:bCs w:val="0"/>
          <w:i w:val="0"/>
          <w:iCs w:val="0"/>
          <w:color w:val="333333"/>
          <w:spacing w:val="0"/>
          <w:w w:val="100"/>
          <w:sz w:val="21"/>
          <w:szCs w:val="21"/>
          <w:vertAlign w:val="baseline"/>
        </w:rPr>
        <w:t>市市场监管局通过国家企业信用信息公示系统（江苏）、12315举报投诉服务平台、宿迁市公共信用信息平台、相关网络交易平台、第三方大数据信用平台等相关系统归集网络交易经营者的主要信用信息；其余少量偶发性信用信息由信息提供单位人工录入。相关网络交易平台无法技术支持数据接口的，也可以通过定期报送的方式提供信用信息。</w:t>
      </w:r>
    </w:p>
    <w:p>
      <w:pPr>
        <w:pStyle w:val="4"/>
        <w:keepNext w:val="0"/>
        <w:keepLines w:val="0"/>
        <w:widowControl/>
        <w:numPr>
          <w:ilvl w:val="1"/>
          <w:numId w:val="18"/>
        </w:numPr>
        <w:suppressLineNumbers w:val="0"/>
        <w:spacing w:before="156" w:beforeAutospacing="0" w:after="156" w:afterAutospacing="0" w:line="240" w:lineRule="auto"/>
        <w:ind w:left="0"/>
        <w:jc w:val="both"/>
        <w:rPr>
          <w:sz w:val="21"/>
          <w:szCs w:val="21"/>
        </w:rPr>
      </w:pPr>
      <w:r>
        <w:rPr>
          <w:rFonts w:hint="eastAsia" w:ascii="黑体" w:hAnsi="宋体" w:eastAsia="黑体" w:cs="黑体"/>
          <w:b w:val="0"/>
          <w:bCs w:val="0"/>
          <w:i w:val="0"/>
          <w:iCs w:val="0"/>
          <w:color w:val="333333"/>
          <w:spacing w:val="0"/>
          <w:w w:val="100"/>
          <w:sz w:val="21"/>
          <w:szCs w:val="21"/>
          <w:vertAlign w:val="baseline"/>
        </w:rPr>
        <w:t>信息保存</w:t>
      </w:r>
    </w:p>
    <w:p>
      <w:pPr>
        <w:pStyle w:val="31"/>
        <w:keepNext w:val="0"/>
        <w:keepLines w:val="0"/>
        <w:widowControl/>
        <w:suppressLineNumbers w:val="0"/>
        <w:spacing w:before="0" w:beforeAutospacing="0" w:after="0" w:afterAutospacing="0" w:line="240" w:lineRule="auto"/>
        <w:ind w:left="0" w:right="0" w:firstLine="420"/>
        <w:jc w:val="both"/>
        <w:rPr>
          <w:sz w:val="21"/>
          <w:szCs w:val="21"/>
        </w:rPr>
      </w:pPr>
      <w:r>
        <w:rPr>
          <w:rFonts w:hint="eastAsia" w:ascii="宋体" w:hAnsi="宋体" w:eastAsia="宋体" w:cs="宋体"/>
          <w:b w:val="0"/>
          <w:bCs w:val="0"/>
          <w:i w:val="0"/>
          <w:iCs w:val="0"/>
          <w:color w:val="333333"/>
          <w:spacing w:val="0"/>
          <w:w w:val="100"/>
          <w:sz w:val="21"/>
          <w:szCs w:val="21"/>
          <w:vertAlign w:val="baseline"/>
        </w:rPr>
        <w:t>网络交易经营者信用信息保存时间为自数据产生之日起不少于三年；法律、行政法规另有规定的，依照其规定。</w:t>
      </w:r>
    </w:p>
    <w:p>
      <w:pPr>
        <w:pStyle w:val="3"/>
        <w:keepNext w:val="0"/>
        <w:keepLines w:val="0"/>
        <w:widowControl/>
        <w:numPr>
          <w:ilvl w:val="0"/>
          <w:numId w:val="18"/>
        </w:numPr>
        <w:suppressLineNumbers w:val="0"/>
        <w:spacing w:before="312" w:beforeAutospacing="0" w:after="312" w:afterAutospacing="0" w:line="240" w:lineRule="auto"/>
        <w:ind w:left="0"/>
        <w:jc w:val="both"/>
        <w:rPr>
          <w:sz w:val="21"/>
          <w:szCs w:val="21"/>
        </w:rPr>
      </w:pPr>
      <w:r>
        <w:rPr>
          <w:rFonts w:hint="eastAsia" w:ascii="黑体" w:hAnsi="宋体" w:eastAsia="黑体" w:cs="黑体"/>
          <w:b w:val="0"/>
          <w:bCs w:val="0"/>
          <w:i w:val="0"/>
          <w:iCs w:val="0"/>
          <w:color w:val="333333"/>
          <w:spacing w:val="0"/>
          <w:w w:val="100"/>
          <w:sz w:val="21"/>
          <w:szCs w:val="21"/>
          <w:vertAlign w:val="baseline"/>
        </w:rPr>
        <w:t>信用风险分类</w:t>
      </w:r>
    </w:p>
    <w:p>
      <w:pPr>
        <w:pStyle w:val="4"/>
        <w:keepNext w:val="0"/>
        <w:keepLines w:val="0"/>
        <w:widowControl/>
        <w:numPr>
          <w:ilvl w:val="1"/>
          <w:numId w:val="18"/>
        </w:numPr>
        <w:suppressLineNumbers w:val="0"/>
        <w:spacing w:before="156" w:beforeAutospacing="0" w:after="156" w:afterAutospacing="0" w:line="240" w:lineRule="auto"/>
        <w:ind w:left="0"/>
        <w:jc w:val="both"/>
        <w:rPr>
          <w:sz w:val="21"/>
          <w:szCs w:val="21"/>
        </w:rPr>
      </w:pPr>
      <w:r>
        <w:rPr>
          <w:rFonts w:hint="eastAsia" w:ascii="黑体" w:hAnsi="宋体" w:eastAsia="黑体" w:cs="黑体"/>
          <w:b w:val="0"/>
          <w:bCs w:val="0"/>
          <w:i w:val="0"/>
          <w:iCs w:val="0"/>
          <w:color w:val="333333"/>
          <w:spacing w:val="0"/>
          <w:w w:val="100"/>
          <w:sz w:val="21"/>
          <w:szCs w:val="21"/>
          <w:vertAlign w:val="baseline"/>
        </w:rPr>
        <w:t>组织分类</w:t>
      </w:r>
    </w:p>
    <w:p>
      <w:pPr>
        <w:pStyle w:val="31"/>
        <w:keepNext w:val="0"/>
        <w:keepLines w:val="0"/>
        <w:widowControl/>
        <w:suppressLineNumbers w:val="0"/>
        <w:spacing w:before="0" w:beforeAutospacing="0" w:after="0" w:afterAutospacing="0" w:line="240" w:lineRule="auto"/>
        <w:ind w:left="0" w:right="0" w:firstLine="420"/>
        <w:jc w:val="both"/>
        <w:rPr>
          <w:sz w:val="21"/>
          <w:szCs w:val="21"/>
        </w:rPr>
      </w:pPr>
      <w:r>
        <w:rPr>
          <w:rFonts w:hint="eastAsia" w:ascii="宋体" w:hAnsi="宋体" w:eastAsia="宋体" w:cs="宋体"/>
          <w:b w:val="0"/>
          <w:bCs w:val="0"/>
          <w:i w:val="0"/>
          <w:iCs w:val="0"/>
          <w:color w:val="333333"/>
          <w:spacing w:val="0"/>
          <w:w w:val="100"/>
          <w:sz w:val="21"/>
          <w:szCs w:val="21"/>
          <w:vertAlign w:val="baseline"/>
        </w:rPr>
        <w:t>市市场监管局牵头制定宿迁市网络交易经营者信用风险分类管理指标体系，分别对网络交易平台经营者、平台内经营者、自建网站经营者进行信用风险分类。</w:t>
      </w:r>
    </w:p>
    <w:p>
      <w:pPr>
        <w:pStyle w:val="4"/>
        <w:keepNext w:val="0"/>
        <w:keepLines w:val="0"/>
        <w:widowControl/>
        <w:numPr>
          <w:ilvl w:val="1"/>
          <w:numId w:val="18"/>
        </w:numPr>
        <w:suppressLineNumbers w:val="0"/>
        <w:spacing w:before="156" w:beforeAutospacing="0" w:after="156" w:afterAutospacing="0" w:line="240" w:lineRule="auto"/>
        <w:ind w:left="0"/>
        <w:jc w:val="both"/>
        <w:rPr>
          <w:sz w:val="21"/>
          <w:szCs w:val="21"/>
        </w:rPr>
      </w:pPr>
      <w:r>
        <w:rPr>
          <w:rFonts w:hint="eastAsia" w:ascii="黑体" w:hAnsi="宋体" w:eastAsia="黑体" w:cs="黑体"/>
          <w:b w:val="0"/>
          <w:bCs w:val="0"/>
          <w:i w:val="0"/>
          <w:iCs w:val="0"/>
          <w:color w:val="333333"/>
          <w:spacing w:val="0"/>
          <w:w w:val="100"/>
          <w:sz w:val="21"/>
          <w:szCs w:val="21"/>
          <w:vertAlign w:val="baseline"/>
        </w:rPr>
        <w:t>信用风险分类</w:t>
      </w:r>
    </w:p>
    <w:p>
      <w:pPr>
        <w:pStyle w:val="31"/>
        <w:keepNext w:val="0"/>
        <w:keepLines w:val="0"/>
        <w:widowControl/>
        <w:suppressLineNumbers w:val="0"/>
        <w:spacing w:before="0" w:beforeAutospacing="0" w:after="0" w:afterAutospacing="0" w:line="240" w:lineRule="auto"/>
        <w:ind w:left="425" w:right="0"/>
        <w:jc w:val="both"/>
        <w:rPr>
          <w:sz w:val="21"/>
          <w:szCs w:val="21"/>
        </w:rPr>
      </w:pPr>
      <w:r>
        <w:rPr>
          <w:rFonts w:hint="eastAsia" w:ascii="宋体" w:hAnsi="宋体" w:eastAsia="宋体" w:cs="宋体"/>
          <w:b w:val="0"/>
          <w:bCs w:val="0"/>
          <w:i w:val="0"/>
          <w:iCs w:val="0"/>
          <w:color w:val="333333"/>
          <w:spacing w:val="0"/>
          <w:w w:val="100"/>
          <w:sz w:val="21"/>
          <w:szCs w:val="21"/>
          <w:vertAlign w:val="baseline"/>
        </w:rPr>
        <w:t>主要围绕以下内容开展：</w:t>
      </w:r>
    </w:p>
    <w:p>
      <w:pPr>
        <w:pStyle w:val="31"/>
        <w:keepNext w:val="0"/>
        <w:keepLines w:val="0"/>
        <w:widowControl/>
        <w:suppressLineNumbers w:val="0"/>
        <w:spacing w:before="0" w:beforeAutospacing="0" w:after="0" w:afterAutospacing="0" w:line="240" w:lineRule="auto"/>
        <w:ind w:left="425" w:right="0"/>
        <w:jc w:val="both"/>
        <w:rPr>
          <w:sz w:val="21"/>
          <w:szCs w:val="21"/>
        </w:rPr>
      </w:pPr>
      <w:r>
        <w:rPr>
          <w:rFonts w:hint="eastAsia" w:ascii="宋体" w:hAnsi="宋体" w:eastAsia="宋体" w:cs="宋体"/>
          <w:b w:val="0"/>
          <w:bCs w:val="0"/>
          <w:i w:val="0"/>
          <w:iCs w:val="0"/>
          <w:color w:val="333333"/>
          <w:spacing w:val="0"/>
          <w:w w:val="100"/>
          <w:sz w:val="21"/>
          <w:szCs w:val="21"/>
          <w:vertAlign w:val="baseline"/>
        </w:rPr>
        <w:t>a）遵守有关法律法规或强制性标准的情况；</w:t>
      </w:r>
    </w:p>
    <w:p>
      <w:pPr>
        <w:pStyle w:val="31"/>
        <w:keepNext w:val="0"/>
        <w:keepLines w:val="0"/>
        <w:widowControl/>
        <w:suppressLineNumbers w:val="0"/>
        <w:spacing w:before="0" w:beforeAutospacing="0" w:after="0" w:afterAutospacing="0" w:line="240" w:lineRule="auto"/>
        <w:ind w:left="833" w:right="0" w:hanging="408"/>
        <w:jc w:val="both"/>
        <w:rPr>
          <w:sz w:val="21"/>
          <w:szCs w:val="21"/>
        </w:rPr>
      </w:pPr>
      <w:r>
        <w:rPr>
          <w:rFonts w:hint="eastAsia" w:ascii="宋体" w:hAnsi="宋体" w:eastAsia="宋体" w:cs="宋体"/>
          <w:b w:val="0"/>
          <w:bCs w:val="0"/>
          <w:i w:val="0"/>
          <w:iCs w:val="0"/>
          <w:color w:val="333333"/>
          <w:spacing w:val="0"/>
          <w:w w:val="100"/>
          <w:sz w:val="21"/>
          <w:szCs w:val="21"/>
          <w:vertAlign w:val="baseline"/>
        </w:rPr>
        <w:t>b）诚信经营、规范服务，自觉维护网络市场秩序的情况；</w:t>
      </w:r>
    </w:p>
    <w:p>
      <w:pPr>
        <w:pStyle w:val="31"/>
        <w:keepNext w:val="0"/>
        <w:keepLines w:val="0"/>
        <w:widowControl/>
        <w:suppressLineNumbers w:val="0"/>
        <w:spacing w:before="0" w:beforeAutospacing="0" w:after="0" w:afterAutospacing="0" w:line="240" w:lineRule="auto"/>
        <w:ind w:left="833" w:right="0" w:hanging="408"/>
        <w:jc w:val="both"/>
        <w:rPr>
          <w:sz w:val="21"/>
          <w:szCs w:val="21"/>
        </w:rPr>
      </w:pPr>
      <w:r>
        <w:rPr>
          <w:rFonts w:hint="eastAsia" w:ascii="宋体" w:hAnsi="宋体" w:eastAsia="宋体" w:cs="宋体"/>
          <w:b w:val="0"/>
          <w:bCs w:val="0"/>
          <w:i w:val="0"/>
          <w:iCs w:val="0"/>
          <w:color w:val="333333"/>
          <w:spacing w:val="0"/>
          <w:w w:val="100"/>
          <w:sz w:val="21"/>
          <w:szCs w:val="21"/>
          <w:vertAlign w:val="baseline"/>
        </w:rPr>
        <w:t>c）资质资格、制度建设等反映网络交易经营者综合素质的情况；</w:t>
      </w:r>
    </w:p>
    <w:p>
      <w:pPr>
        <w:pStyle w:val="31"/>
        <w:keepNext w:val="0"/>
        <w:keepLines w:val="0"/>
        <w:widowControl/>
        <w:suppressLineNumbers w:val="0"/>
        <w:spacing w:before="0" w:beforeAutospacing="0" w:after="0" w:afterAutospacing="0" w:line="240" w:lineRule="auto"/>
        <w:ind w:left="833" w:right="0" w:hanging="408"/>
        <w:jc w:val="both"/>
        <w:rPr>
          <w:sz w:val="21"/>
          <w:szCs w:val="21"/>
        </w:rPr>
      </w:pPr>
      <w:r>
        <w:rPr>
          <w:rFonts w:hint="eastAsia" w:ascii="宋体" w:hAnsi="宋体" w:eastAsia="宋体" w:cs="宋体"/>
          <w:b w:val="0"/>
          <w:bCs w:val="0"/>
          <w:i w:val="0"/>
          <w:iCs w:val="0"/>
          <w:color w:val="333333"/>
          <w:spacing w:val="0"/>
          <w:w w:val="100"/>
          <w:sz w:val="21"/>
          <w:szCs w:val="21"/>
          <w:vertAlign w:val="baseline"/>
        </w:rPr>
        <w:t>d）对信用承诺、交易合同的遵守和履行情况；</w:t>
      </w:r>
    </w:p>
    <w:p>
      <w:pPr>
        <w:pStyle w:val="31"/>
        <w:keepNext w:val="0"/>
        <w:keepLines w:val="0"/>
        <w:widowControl/>
        <w:suppressLineNumbers w:val="0"/>
        <w:spacing w:before="0" w:beforeAutospacing="0" w:after="0" w:afterAutospacing="0" w:line="240" w:lineRule="auto"/>
        <w:ind w:left="833" w:right="0" w:hanging="408"/>
        <w:jc w:val="both"/>
        <w:rPr>
          <w:sz w:val="21"/>
          <w:szCs w:val="21"/>
        </w:rPr>
      </w:pPr>
      <w:r>
        <w:rPr>
          <w:rFonts w:hint="eastAsia" w:ascii="宋体" w:hAnsi="宋体" w:eastAsia="宋体" w:cs="宋体"/>
          <w:b w:val="0"/>
          <w:bCs w:val="0"/>
          <w:i w:val="0"/>
          <w:iCs w:val="0"/>
          <w:color w:val="333333"/>
          <w:spacing w:val="0"/>
          <w:w w:val="100"/>
          <w:sz w:val="21"/>
          <w:szCs w:val="21"/>
          <w:vertAlign w:val="baseline"/>
        </w:rPr>
        <w:t>e）日常监督检查、抽查等行政监管情况；</w:t>
      </w:r>
    </w:p>
    <w:p>
      <w:pPr>
        <w:pStyle w:val="31"/>
        <w:keepNext w:val="0"/>
        <w:keepLines w:val="0"/>
        <w:widowControl/>
        <w:suppressLineNumbers w:val="0"/>
        <w:spacing w:before="0" w:beforeAutospacing="0" w:after="0" w:afterAutospacing="0" w:line="240" w:lineRule="auto"/>
        <w:ind w:left="833" w:right="0" w:hanging="408"/>
        <w:jc w:val="both"/>
        <w:rPr>
          <w:sz w:val="21"/>
          <w:szCs w:val="21"/>
        </w:rPr>
      </w:pPr>
      <w:r>
        <w:rPr>
          <w:rFonts w:hint="eastAsia" w:ascii="宋体" w:hAnsi="宋体" w:eastAsia="宋体" w:cs="宋体"/>
          <w:b w:val="0"/>
          <w:bCs w:val="0"/>
          <w:i w:val="0"/>
          <w:iCs w:val="0"/>
          <w:color w:val="333333"/>
          <w:spacing w:val="0"/>
          <w:w w:val="100"/>
          <w:sz w:val="21"/>
          <w:szCs w:val="21"/>
          <w:vertAlign w:val="baseline"/>
        </w:rPr>
        <w:t>f）有效投诉、举报等社会监督情况；</w:t>
      </w:r>
    </w:p>
    <w:p>
      <w:pPr>
        <w:pStyle w:val="31"/>
        <w:keepNext w:val="0"/>
        <w:keepLines w:val="0"/>
        <w:widowControl/>
        <w:suppressLineNumbers w:val="0"/>
        <w:spacing w:before="0" w:beforeAutospacing="0" w:after="0" w:afterAutospacing="0" w:line="240" w:lineRule="auto"/>
        <w:ind w:left="833" w:right="0" w:hanging="408"/>
        <w:jc w:val="both"/>
        <w:rPr>
          <w:sz w:val="21"/>
          <w:szCs w:val="21"/>
        </w:rPr>
      </w:pPr>
      <w:r>
        <w:rPr>
          <w:rFonts w:hint="eastAsia" w:ascii="宋体" w:hAnsi="宋体" w:eastAsia="宋体" w:cs="宋体"/>
          <w:b w:val="0"/>
          <w:bCs w:val="0"/>
          <w:i w:val="0"/>
          <w:iCs w:val="0"/>
          <w:color w:val="333333"/>
          <w:spacing w:val="0"/>
          <w:w w:val="100"/>
          <w:sz w:val="21"/>
          <w:szCs w:val="21"/>
          <w:vertAlign w:val="baseline"/>
        </w:rPr>
        <w:t>g）受到相关政府部门和单位、法律法规授权具有管理公共事务职能的行业协会表彰奖励或处罚的情况；</w:t>
      </w:r>
    </w:p>
    <w:p>
      <w:pPr>
        <w:pStyle w:val="31"/>
        <w:keepNext w:val="0"/>
        <w:keepLines w:val="0"/>
        <w:widowControl/>
        <w:suppressLineNumbers w:val="0"/>
        <w:spacing w:before="0" w:beforeAutospacing="0" w:after="0" w:afterAutospacing="0" w:line="240" w:lineRule="auto"/>
        <w:ind w:left="833" w:right="0" w:hanging="408"/>
        <w:jc w:val="both"/>
        <w:rPr>
          <w:sz w:val="21"/>
          <w:szCs w:val="21"/>
        </w:rPr>
      </w:pPr>
      <w:r>
        <w:rPr>
          <w:rFonts w:hint="eastAsia" w:ascii="宋体" w:hAnsi="宋体" w:eastAsia="宋体" w:cs="宋体"/>
          <w:b w:val="0"/>
          <w:bCs w:val="0"/>
          <w:i w:val="0"/>
          <w:iCs w:val="0"/>
          <w:color w:val="333333"/>
          <w:spacing w:val="0"/>
          <w:w w:val="100"/>
          <w:sz w:val="21"/>
          <w:szCs w:val="21"/>
          <w:vertAlign w:val="baseline"/>
        </w:rPr>
        <w:t>h）其他能够反映网络交易经营者信用状况的内容。</w:t>
      </w:r>
    </w:p>
    <w:p>
      <w:pPr>
        <w:pStyle w:val="4"/>
        <w:keepNext w:val="0"/>
        <w:keepLines w:val="0"/>
        <w:widowControl/>
        <w:numPr>
          <w:ilvl w:val="1"/>
          <w:numId w:val="18"/>
        </w:numPr>
        <w:suppressLineNumbers w:val="0"/>
        <w:spacing w:before="156" w:beforeAutospacing="0" w:after="156" w:afterAutospacing="0" w:line="240" w:lineRule="auto"/>
        <w:ind w:left="0"/>
        <w:jc w:val="both"/>
        <w:rPr>
          <w:sz w:val="21"/>
          <w:szCs w:val="21"/>
        </w:rPr>
      </w:pPr>
      <w:r>
        <w:rPr>
          <w:rFonts w:hint="eastAsia" w:ascii="黑体" w:hAnsi="宋体" w:eastAsia="黑体" w:cs="黑体"/>
          <w:b w:val="0"/>
          <w:bCs w:val="0"/>
          <w:i w:val="0"/>
          <w:iCs w:val="0"/>
          <w:color w:val="333333"/>
          <w:spacing w:val="0"/>
          <w:w w:val="100"/>
          <w:sz w:val="21"/>
          <w:szCs w:val="21"/>
          <w:vertAlign w:val="baseline"/>
        </w:rPr>
        <w:t>建立数据库</w:t>
      </w:r>
    </w:p>
    <w:p>
      <w:pPr>
        <w:pStyle w:val="5"/>
        <w:keepNext w:val="0"/>
        <w:keepLines w:val="0"/>
        <w:widowControl/>
        <w:suppressLineNumbers w:val="0"/>
        <w:spacing w:before="50" w:beforeAutospacing="0" w:after="50" w:afterAutospacing="0" w:line="240" w:lineRule="auto"/>
        <w:ind w:left="0"/>
        <w:jc w:val="both"/>
        <w:rPr>
          <w:sz w:val="21"/>
          <w:szCs w:val="21"/>
        </w:rPr>
      </w:pPr>
      <w:r>
        <w:rPr>
          <w:rFonts w:hint="eastAsia" w:ascii="宋体" w:hAnsi="宋体" w:eastAsia="宋体" w:cs="宋体"/>
          <w:b w:val="0"/>
          <w:bCs w:val="0"/>
          <w:i w:val="0"/>
          <w:iCs w:val="0"/>
          <w:color w:val="333333"/>
          <w:spacing w:val="0"/>
          <w:w w:val="100"/>
          <w:sz w:val="21"/>
          <w:szCs w:val="21"/>
          <w:vertAlign w:val="baseline"/>
        </w:rPr>
        <w:t>  市市场监管局建立网络交易经营者信用数据库，嵌入信用风险分类程序，由系统按照宿迁市网络经营者信用风险分类管理指标体系对信用信息进行计算处理，自动生成网络交易经营者信用风险分类。</w:t>
      </w:r>
    </w:p>
    <w:p>
      <w:pPr>
        <w:pStyle w:val="5"/>
        <w:keepNext w:val="0"/>
        <w:keepLines w:val="0"/>
        <w:widowControl/>
        <w:suppressLineNumbers w:val="0"/>
        <w:spacing w:before="50" w:beforeAutospacing="0" w:after="50" w:afterAutospacing="0" w:line="240" w:lineRule="auto"/>
        <w:ind w:left="0"/>
        <w:jc w:val="both"/>
        <w:rPr>
          <w:sz w:val="21"/>
          <w:szCs w:val="21"/>
        </w:rPr>
      </w:pPr>
      <w:r>
        <w:rPr>
          <w:rFonts w:hint="eastAsia" w:ascii="宋体" w:hAnsi="宋体" w:eastAsia="宋体" w:cs="宋体"/>
          <w:b w:val="0"/>
          <w:bCs w:val="0"/>
          <w:i w:val="0"/>
          <w:iCs w:val="0"/>
          <w:color w:val="333333"/>
          <w:spacing w:val="0"/>
          <w:w w:val="100"/>
          <w:sz w:val="21"/>
          <w:szCs w:val="21"/>
          <w:vertAlign w:val="baseline"/>
        </w:rPr>
        <w:t>信用数据实行动态更新。</w:t>
      </w:r>
    </w:p>
    <w:p>
      <w:pPr>
        <w:pStyle w:val="4"/>
        <w:keepNext w:val="0"/>
        <w:keepLines w:val="0"/>
        <w:widowControl/>
        <w:numPr>
          <w:ilvl w:val="1"/>
          <w:numId w:val="18"/>
        </w:numPr>
        <w:suppressLineNumbers w:val="0"/>
        <w:spacing w:before="156" w:beforeAutospacing="0" w:after="156" w:afterAutospacing="0" w:line="240" w:lineRule="auto"/>
        <w:ind w:left="0"/>
        <w:jc w:val="both"/>
        <w:rPr>
          <w:sz w:val="21"/>
          <w:szCs w:val="21"/>
        </w:rPr>
      </w:pPr>
      <w:r>
        <w:rPr>
          <w:rFonts w:hint="eastAsia" w:ascii="黑体" w:hAnsi="宋体" w:eastAsia="黑体" w:cs="黑体"/>
          <w:b w:val="0"/>
          <w:bCs w:val="0"/>
          <w:i w:val="0"/>
          <w:iCs w:val="0"/>
          <w:color w:val="333333"/>
          <w:spacing w:val="0"/>
          <w:w w:val="100"/>
          <w:sz w:val="21"/>
          <w:szCs w:val="21"/>
          <w:vertAlign w:val="baseline"/>
        </w:rPr>
        <w:t>信用风险分类</w:t>
      </w:r>
    </w:p>
    <w:p>
      <w:pPr>
        <w:pStyle w:val="5"/>
        <w:keepNext w:val="0"/>
        <w:keepLines w:val="0"/>
        <w:widowControl/>
        <w:suppressLineNumbers w:val="0"/>
        <w:spacing w:before="50" w:beforeAutospacing="0" w:after="50" w:afterAutospacing="0" w:line="240" w:lineRule="auto"/>
        <w:ind w:left="0" w:firstLine="420" w:firstLineChars="200"/>
        <w:jc w:val="both"/>
        <w:rPr>
          <w:sz w:val="21"/>
          <w:szCs w:val="21"/>
        </w:rPr>
      </w:pPr>
      <w:r>
        <w:rPr>
          <w:rFonts w:hint="eastAsia" w:ascii="宋体" w:hAnsi="宋体" w:eastAsia="宋体" w:cs="宋体"/>
          <w:b w:val="0"/>
          <w:bCs w:val="0"/>
          <w:i w:val="0"/>
          <w:iCs w:val="0"/>
          <w:color w:val="333333"/>
          <w:spacing w:val="0"/>
          <w:w w:val="100"/>
          <w:sz w:val="21"/>
          <w:szCs w:val="21"/>
          <w:vertAlign w:val="baseline"/>
        </w:rPr>
        <w:t>6.4.1 全市网络市场实行统一的分类工作标准及管理措施，按照千分制标准，由高分到低分分为A类、B类、C类、D类四个类别，对无法充分获取相应信用信息并作出信用风险分类的统一归为U类，共五个类别。分类标准由市网络市场监管部门联席会议研究确定（见附录A）。</w:t>
      </w:r>
    </w:p>
    <w:p>
      <w:pPr>
        <w:pStyle w:val="5"/>
        <w:keepNext w:val="0"/>
        <w:keepLines w:val="0"/>
        <w:widowControl/>
        <w:suppressLineNumbers w:val="0"/>
        <w:spacing w:before="50" w:beforeAutospacing="0" w:after="50" w:afterAutospacing="0" w:line="240" w:lineRule="auto"/>
        <w:ind w:left="0" w:firstLine="420" w:firstLineChars="200"/>
        <w:jc w:val="both"/>
        <w:rPr>
          <w:sz w:val="21"/>
          <w:szCs w:val="21"/>
        </w:rPr>
      </w:pPr>
      <w:r>
        <w:rPr>
          <w:rFonts w:hint="eastAsia" w:ascii="宋体" w:hAnsi="宋体" w:eastAsia="宋体" w:cs="宋体"/>
          <w:b w:val="0"/>
          <w:bCs w:val="0"/>
          <w:i w:val="0"/>
          <w:iCs w:val="0"/>
          <w:color w:val="333333"/>
          <w:spacing w:val="0"/>
          <w:w w:val="100"/>
          <w:sz w:val="21"/>
          <w:szCs w:val="21"/>
          <w:vertAlign w:val="baseline"/>
        </w:rPr>
        <w:t>6.4.2 信用风险分类按照下列分值标准确定：</w:t>
      </w:r>
    </w:p>
    <w:p>
      <w:pPr>
        <w:pStyle w:val="31"/>
        <w:keepNext w:val="0"/>
        <w:keepLines w:val="0"/>
        <w:widowControl/>
        <w:suppressLineNumbers w:val="0"/>
        <w:spacing w:before="0" w:beforeAutospacing="0" w:after="0" w:afterAutospacing="0" w:line="240" w:lineRule="auto"/>
        <w:ind w:left="833" w:right="0" w:hanging="408"/>
        <w:jc w:val="both"/>
        <w:rPr>
          <w:sz w:val="21"/>
          <w:szCs w:val="21"/>
        </w:rPr>
      </w:pPr>
      <w:r>
        <w:rPr>
          <w:rFonts w:hint="eastAsia" w:ascii="宋体" w:hAnsi="宋体" w:eastAsia="宋体" w:cs="宋体"/>
          <w:b w:val="0"/>
          <w:bCs w:val="0"/>
          <w:i w:val="0"/>
          <w:iCs w:val="0"/>
          <w:color w:val="333333"/>
          <w:spacing w:val="0"/>
          <w:w w:val="100"/>
          <w:sz w:val="21"/>
          <w:szCs w:val="21"/>
          <w:vertAlign w:val="baseline"/>
        </w:rPr>
        <w:t>a）A类为得分900分以上的，表示基本无信用风险，为优质信用类；</w:t>
      </w:r>
    </w:p>
    <w:p>
      <w:pPr>
        <w:pStyle w:val="31"/>
        <w:keepNext w:val="0"/>
        <w:keepLines w:val="0"/>
        <w:widowControl/>
        <w:suppressLineNumbers w:val="0"/>
        <w:spacing w:before="0" w:beforeAutospacing="0" w:after="0" w:afterAutospacing="0" w:line="240" w:lineRule="auto"/>
        <w:ind w:left="833" w:right="0" w:hanging="408"/>
        <w:jc w:val="both"/>
        <w:rPr>
          <w:sz w:val="21"/>
          <w:szCs w:val="21"/>
        </w:rPr>
      </w:pPr>
      <w:r>
        <w:rPr>
          <w:rFonts w:hint="eastAsia" w:ascii="宋体" w:hAnsi="宋体" w:eastAsia="宋体" w:cs="宋体"/>
          <w:b w:val="0"/>
          <w:bCs w:val="0"/>
          <w:i w:val="0"/>
          <w:iCs w:val="0"/>
          <w:color w:val="333333"/>
          <w:spacing w:val="0"/>
          <w:w w:val="100"/>
          <w:sz w:val="21"/>
          <w:szCs w:val="21"/>
          <w:vertAlign w:val="baseline"/>
        </w:rPr>
        <w:t>b）B类为得分800分以上不满900分的，表示信用风险较小，为良好信用类；</w:t>
      </w:r>
    </w:p>
    <w:p>
      <w:pPr>
        <w:pStyle w:val="31"/>
        <w:keepNext w:val="0"/>
        <w:keepLines w:val="0"/>
        <w:widowControl/>
        <w:suppressLineNumbers w:val="0"/>
        <w:spacing w:before="0" w:beforeAutospacing="0" w:after="0" w:afterAutospacing="0" w:line="240" w:lineRule="auto"/>
        <w:ind w:left="833" w:right="0" w:hanging="408"/>
        <w:jc w:val="both"/>
        <w:rPr>
          <w:sz w:val="21"/>
          <w:szCs w:val="21"/>
        </w:rPr>
      </w:pPr>
      <w:r>
        <w:rPr>
          <w:rFonts w:hint="eastAsia" w:ascii="宋体" w:hAnsi="宋体" w:eastAsia="宋体" w:cs="宋体"/>
          <w:b w:val="0"/>
          <w:bCs w:val="0"/>
          <w:i w:val="0"/>
          <w:iCs w:val="0"/>
          <w:color w:val="333333"/>
          <w:spacing w:val="0"/>
          <w:w w:val="100"/>
          <w:sz w:val="21"/>
          <w:szCs w:val="21"/>
          <w:vertAlign w:val="baseline"/>
        </w:rPr>
        <w:t>c）C类为得分650分以上不满800分的，表示有一定信用风险，为一般信用类；</w:t>
      </w:r>
    </w:p>
    <w:p>
      <w:pPr>
        <w:pStyle w:val="31"/>
        <w:keepNext w:val="0"/>
        <w:keepLines w:val="0"/>
        <w:widowControl/>
        <w:suppressLineNumbers w:val="0"/>
        <w:spacing w:before="0" w:beforeAutospacing="0" w:after="0" w:afterAutospacing="0" w:line="240" w:lineRule="auto"/>
        <w:ind w:left="833" w:right="0" w:hanging="408"/>
        <w:jc w:val="both"/>
        <w:rPr>
          <w:sz w:val="21"/>
          <w:szCs w:val="21"/>
        </w:rPr>
      </w:pPr>
      <w:r>
        <w:rPr>
          <w:rFonts w:hint="eastAsia" w:ascii="宋体" w:hAnsi="宋体" w:eastAsia="宋体" w:cs="宋体"/>
          <w:b w:val="0"/>
          <w:bCs w:val="0"/>
          <w:i w:val="0"/>
          <w:iCs w:val="0"/>
          <w:color w:val="333333"/>
          <w:spacing w:val="0"/>
          <w:w w:val="100"/>
          <w:sz w:val="21"/>
          <w:szCs w:val="21"/>
          <w:vertAlign w:val="baseline"/>
        </w:rPr>
        <w:t>d）D类为得分不满650分的，表示有较大信用风险，为不良信用类；</w:t>
      </w:r>
    </w:p>
    <w:p>
      <w:pPr>
        <w:pStyle w:val="31"/>
        <w:keepNext w:val="0"/>
        <w:keepLines w:val="0"/>
        <w:widowControl/>
        <w:suppressLineNumbers w:val="0"/>
        <w:spacing w:before="0" w:beforeAutospacing="0" w:after="0" w:afterAutospacing="0" w:line="240" w:lineRule="auto"/>
        <w:ind w:left="833" w:right="0" w:hanging="408"/>
        <w:jc w:val="both"/>
        <w:rPr>
          <w:sz w:val="21"/>
          <w:szCs w:val="21"/>
        </w:rPr>
      </w:pPr>
      <w:r>
        <w:rPr>
          <w:rFonts w:hint="eastAsia" w:ascii="宋体" w:hAnsi="宋体" w:eastAsia="宋体" w:cs="宋体"/>
          <w:b w:val="0"/>
          <w:bCs w:val="0"/>
          <w:i w:val="0"/>
          <w:iCs w:val="0"/>
          <w:color w:val="333333"/>
          <w:spacing w:val="0"/>
          <w:w w:val="100"/>
          <w:sz w:val="21"/>
          <w:szCs w:val="21"/>
          <w:vertAlign w:val="baseline"/>
        </w:rPr>
        <w:t>e）U类为无法充分获取相应信用信息并作出信用风险分类的，为未知信用类。</w:t>
      </w:r>
    </w:p>
    <w:p>
      <w:pPr>
        <w:pStyle w:val="3"/>
        <w:keepNext w:val="0"/>
        <w:keepLines w:val="0"/>
        <w:widowControl/>
        <w:numPr>
          <w:ilvl w:val="0"/>
          <w:numId w:val="18"/>
        </w:numPr>
        <w:suppressLineNumbers w:val="0"/>
        <w:spacing w:before="312" w:beforeAutospacing="0" w:after="312" w:afterAutospacing="0" w:line="240" w:lineRule="auto"/>
        <w:ind w:left="0"/>
        <w:jc w:val="both"/>
        <w:rPr>
          <w:sz w:val="21"/>
          <w:szCs w:val="21"/>
        </w:rPr>
      </w:pPr>
      <w:r>
        <w:rPr>
          <w:rFonts w:hint="eastAsia" w:ascii="黑体" w:hAnsi="宋体" w:eastAsia="黑体" w:cs="黑体"/>
          <w:b w:val="0"/>
          <w:bCs w:val="0"/>
          <w:i w:val="0"/>
          <w:iCs w:val="0"/>
          <w:color w:val="333333"/>
          <w:spacing w:val="0"/>
          <w:w w:val="100"/>
          <w:sz w:val="21"/>
          <w:szCs w:val="21"/>
          <w:vertAlign w:val="baseline"/>
        </w:rPr>
        <w:t>信用风险分类管理</w:t>
      </w:r>
    </w:p>
    <w:p>
      <w:pPr>
        <w:pStyle w:val="4"/>
        <w:keepNext w:val="0"/>
        <w:keepLines w:val="0"/>
        <w:widowControl/>
        <w:numPr>
          <w:ilvl w:val="1"/>
          <w:numId w:val="18"/>
        </w:numPr>
        <w:suppressLineNumbers w:val="0"/>
        <w:spacing w:before="156" w:beforeAutospacing="0" w:after="156" w:afterAutospacing="0" w:line="240" w:lineRule="auto"/>
        <w:ind w:left="0"/>
        <w:jc w:val="both"/>
        <w:rPr>
          <w:sz w:val="21"/>
          <w:szCs w:val="21"/>
        </w:rPr>
      </w:pPr>
      <w:r>
        <w:rPr>
          <w:rFonts w:hint="eastAsia" w:ascii="宋体" w:hAnsi="宋体" w:eastAsia="宋体" w:cs="宋体"/>
          <w:b w:val="0"/>
          <w:bCs w:val="0"/>
          <w:i w:val="0"/>
          <w:iCs w:val="0"/>
          <w:color w:val="333333"/>
          <w:spacing w:val="0"/>
          <w:w w:val="100"/>
          <w:sz w:val="21"/>
          <w:szCs w:val="21"/>
          <w:vertAlign w:val="baseline"/>
        </w:rPr>
        <w:t>依托宿迁市数字信用赋能平台，市市场监管局将网络交易经营者信用风险分类推送给相关政府部门和单位，供相关部门和单位制定事中事后监管措施时参考。</w:t>
      </w:r>
    </w:p>
    <w:p>
      <w:pPr>
        <w:pStyle w:val="4"/>
        <w:keepNext w:val="0"/>
        <w:keepLines w:val="0"/>
        <w:widowControl/>
        <w:numPr>
          <w:ilvl w:val="1"/>
          <w:numId w:val="18"/>
        </w:numPr>
        <w:suppressLineNumbers w:val="0"/>
        <w:spacing w:before="156" w:beforeAutospacing="0" w:after="156" w:afterAutospacing="0" w:line="240" w:lineRule="auto"/>
        <w:ind w:left="0"/>
        <w:jc w:val="both"/>
        <w:rPr>
          <w:sz w:val="21"/>
          <w:szCs w:val="21"/>
        </w:rPr>
      </w:pPr>
      <w:r>
        <w:rPr>
          <w:rFonts w:hint="eastAsia" w:ascii="宋体" w:hAnsi="宋体" w:eastAsia="宋体" w:cs="宋体"/>
          <w:b w:val="0"/>
          <w:bCs w:val="0"/>
          <w:i w:val="0"/>
          <w:iCs w:val="0"/>
          <w:color w:val="333333"/>
          <w:spacing w:val="0"/>
          <w:w w:val="100"/>
          <w:sz w:val="21"/>
          <w:szCs w:val="21"/>
          <w:vertAlign w:val="baseline"/>
        </w:rPr>
        <w:t>市网络市场监管部门联席会议成员单位按照守信便利、失信严管原则，对不同信用风险分类的网络交易经营者在事前承诺公示、事中监督检查、事后监管处理等环节实施差异化的信用监管措施。</w:t>
      </w:r>
    </w:p>
    <w:p>
      <w:pPr>
        <w:pStyle w:val="4"/>
        <w:keepNext w:val="0"/>
        <w:keepLines w:val="0"/>
        <w:widowControl/>
        <w:numPr>
          <w:ilvl w:val="1"/>
          <w:numId w:val="18"/>
        </w:numPr>
        <w:suppressLineNumbers w:val="0"/>
        <w:spacing w:before="156" w:beforeAutospacing="0" w:after="156" w:afterAutospacing="0" w:line="240" w:lineRule="auto"/>
        <w:ind w:left="0"/>
        <w:jc w:val="both"/>
        <w:rPr>
          <w:sz w:val="21"/>
          <w:szCs w:val="21"/>
        </w:rPr>
      </w:pPr>
      <w:r>
        <w:rPr>
          <w:rFonts w:hint="eastAsia" w:ascii="宋体" w:hAnsi="宋体" w:eastAsia="宋体" w:cs="宋体"/>
          <w:b w:val="0"/>
          <w:bCs w:val="0"/>
          <w:i w:val="0"/>
          <w:iCs w:val="0"/>
          <w:color w:val="333333"/>
          <w:spacing w:val="0"/>
          <w:w w:val="100"/>
          <w:sz w:val="21"/>
          <w:szCs w:val="21"/>
          <w:vertAlign w:val="baseline"/>
        </w:rPr>
        <w:t>对信用风险分类为A类的网络交易经营者，市网络市场监管部门联席会议成员单位采取以下措施：</w:t>
      </w:r>
    </w:p>
    <w:p>
      <w:pPr>
        <w:pStyle w:val="31"/>
        <w:keepNext w:val="0"/>
        <w:keepLines w:val="0"/>
        <w:widowControl/>
        <w:suppressLineNumbers w:val="0"/>
        <w:spacing w:before="0" w:beforeAutospacing="0" w:after="0" w:afterAutospacing="0" w:line="240" w:lineRule="auto"/>
        <w:ind w:left="833" w:right="0" w:hanging="408"/>
        <w:jc w:val="both"/>
        <w:rPr>
          <w:sz w:val="21"/>
          <w:szCs w:val="21"/>
        </w:rPr>
      </w:pPr>
      <w:r>
        <w:rPr>
          <w:rFonts w:hint="eastAsia" w:ascii="宋体" w:hAnsi="宋体" w:eastAsia="宋体" w:cs="宋体"/>
          <w:b w:val="0"/>
          <w:bCs w:val="0"/>
          <w:i w:val="0"/>
          <w:iCs w:val="0"/>
          <w:color w:val="333333"/>
          <w:spacing w:val="0"/>
          <w:w w:val="100"/>
          <w:sz w:val="21"/>
          <w:szCs w:val="21"/>
          <w:vertAlign w:val="baseline"/>
        </w:rPr>
        <w:t>a）在政府部门网站、“信用宿迁”网站、搜索引擎、经营者网站首页或从事经营活动主页面等渠道公示和推荐其行业自律型、主动公示型信用承诺，优先推介良好形象；</w:t>
      </w:r>
    </w:p>
    <w:p>
      <w:pPr>
        <w:pStyle w:val="31"/>
        <w:keepNext w:val="0"/>
        <w:keepLines w:val="0"/>
        <w:widowControl/>
        <w:suppressLineNumbers w:val="0"/>
        <w:spacing w:before="0" w:beforeAutospacing="0" w:after="0" w:afterAutospacing="0" w:line="240" w:lineRule="auto"/>
        <w:ind w:left="833" w:right="0" w:hanging="408"/>
        <w:jc w:val="both"/>
        <w:rPr>
          <w:sz w:val="21"/>
          <w:szCs w:val="21"/>
        </w:rPr>
      </w:pPr>
      <w:r>
        <w:rPr>
          <w:rFonts w:hint="eastAsia" w:ascii="宋体" w:hAnsi="宋体" w:eastAsia="宋体" w:cs="宋体"/>
          <w:b w:val="0"/>
          <w:bCs w:val="0"/>
          <w:i w:val="0"/>
          <w:iCs w:val="0"/>
          <w:color w:val="333333"/>
          <w:spacing w:val="0"/>
          <w:w w:val="100"/>
          <w:sz w:val="21"/>
          <w:szCs w:val="21"/>
          <w:vertAlign w:val="baseline"/>
        </w:rPr>
        <w:t>b）实施信任监管，降低随机抽查比例，实行书面检查，一般情况下不列为专项整治对象；</w:t>
      </w:r>
    </w:p>
    <w:p>
      <w:pPr>
        <w:pStyle w:val="31"/>
        <w:keepNext w:val="0"/>
        <w:keepLines w:val="0"/>
        <w:widowControl/>
        <w:suppressLineNumbers w:val="0"/>
        <w:spacing w:before="0" w:beforeAutospacing="0" w:after="0" w:afterAutospacing="0" w:line="240" w:lineRule="auto"/>
        <w:ind w:left="833" w:right="0" w:hanging="408"/>
        <w:jc w:val="both"/>
        <w:rPr>
          <w:sz w:val="21"/>
          <w:szCs w:val="21"/>
        </w:rPr>
      </w:pPr>
      <w:r>
        <w:rPr>
          <w:rFonts w:hint="eastAsia" w:ascii="宋体" w:hAnsi="宋体" w:eastAsia="宋体" w:cs="宋体"/>
          <w:b w:val="0"/>
          <w:bCs w:val="0"/>
          <w:i w:val="0"/>
          <w:iCs w:val="0"/>
          <w:color w:val="333333"/>
          <w:spacing w:val="0"/>
          <w:w w:val="100"/>
          <w:sz w:val="21"/>
          <w:szCs w:val="21"/>
          <w:vertAlign w:val="baseline"/>
        </w:rPr>
        <w:t>c）对非重点监管领域网络交易经营者，尤其是互联网广告经营和发布者（自媒体达人）、便民劳务提供者、民宿服务提供者等不涉及行政许可的网络交易经营者，实施包容审慎监管、触发式监管，给予企业充足的发展空间。</w:t>
      </w:r>
    </w:p>
    <w:p>
      <w:pPr>
        <w:pStyle w:val="31"/>
        <w:keepNext w:val="0"/>
        <w:keepLines w:val="0"/>
        <w:widowControl/>
        <w:suppressLineNumbers w:val="0"/>
        <w:spacing w:before="0" w:beforeAutospacing="0" w:after="0" w:afterAutospacing="0" w:line="240" w:lineRule="auto"/>
        <w:ind w:left="833" w:right="0" w:hanging="408"/>
        <w:jc w:val="both"/>
        <w:rPr>
          <w:sz w:val="21"/>
          <w:szCs w:val="21"/>
        </w:rPr>
      </w:pPr>
      <w:r>
        <w:rPr>
          <w:rFonts w:hint="eastAsia" w:ascii="宋体" w:hAnsi="宋体" w:eastAsia="宋体" w:cs="宋体"/>
          <w:b w:val="0"/>
          <w:bCs w:val="0"/>
          <w:i w:val="0"/>
          <w:iCs w:val="0"/>
          <w:color w:val="333333"/>
          <w:spacing w:val="0"/>
          <w:w w:val="100"/>
          <w:sz w:val="21"/>
          <w:szCs w:val="21"/>
          <w:vertAlign w:val="baseline"/>
        </w:rPr>
        <w:t>d）违法行为轻微并及时改正，没有造成危害后果的，有关部门加强行政指导，督促其改正，不予行政处罚。</w:t>
      </w:r>
    </w:p>
    <w:p>
      <w:pPr>
        <w:pStyle w:val="31"/>
        <w:keepNext w:val="0"/>
        <w:keepLines w:val="0"/>
        <w:widowControl/>
        <w:suppressLineNumbers w:val="0"/>
        <w:spacing w:before="0" w:beforeAutospacing="0" w:after="0" w:afterAutospacing="0" w:line="240" w:lineRule="auto"/>
        <w:ind w:left="833" w:right="0" w:hanging="408"/>
        <w:jc w:val="both"/>
        <w:rPr>
          <w:sz w:val="21"/>
          <w:szCs w:val="21"/>
        </w:rPr>
      </w:pPr>
      <w:r>
        <w:rPr>
          <w:rFonts w:hint="eastAsia" w:ascii="宋体" w:hAnsi="宋体" w:eastAsia="宋体" w:cs="宋体"/>
          <w:b w:val="0"/>
          <w:bCs w:val="0"/>
          <w:i w:val="0"/>
          <w:iCs w:val="0"/>
          <w:color w:val="333333"/>
          <w:spacing w:val="0"/>
          <w:w w:val="100"/>
          <w:sz w:val="21"/>
          <w:szCs w:val="21"/>
          <w:vertAlign w:val="baseline"/>
        </w:rPr>
        <w:t>e）优先进入政府、行业协会评优评先候选名单。</w:t>
      </w:r>
    </w:p>
    <w:p>
      <w:pPr>
        <w:pStyle w:val="4"/>
        <w:keepNext w:val="0"/>
        <w:keepLines w:val="0"/>
        <w:widowControl/>
        <w:numPr>
          <w:ilvl w:val="1"/>
          <w:numId w:val="18"/>
        </w:numPr>
        <w:suppressLineNumbers w:val="0"/>
        <w:spacing w:before="156" w:beforeAutospacing="0" w:after="156" w:afterAutospacing="0" w:line="240" w:lineRule="auto"/>
        <w:ind w:left="0"/>
        <w:jc w:val="both"/>
        <w:rPr>
          <w:sz w:val="21"/>
          <w:szCs w:val="21"/>
        </w:rPr>
      </w:pPr>
      <w:r>
        <w:rPr>
          <w:rFonts w:hint="eastAsia" w:ascii="宋体" w:hAnsi="宋体" w:eastAsia="宋体" w:cs="宋体"/>
          <w:b w:val="0"/>
          <w:bCs w:val="0"/>
          <w:i w:val="0"/>
          <w:iCs w:val="0"/>
          <w:color w:val="333333"/>
          <w:spacing w:val="0"/>
          <w:w w:val="100"/>
          <w:sz w:val="21"/>
          <w:szCs w:val="21"/>
          <w:vertAlign w:val="baseline"/>
        </w:rPr>
        <w:t>对信用风险分类为B类的网络交易经营者，市网络市场监管部门联席会议成员单位采取以下措施：</w:t>
      </w:r>
    </w:p>
    <w:p>
      <w:pPr>
        <w:pStyle w:val="31"/>
        <w:keepNext w:val="0"/>
        <w:keepLines w:val="0"/>
        <w:widowControl/>
        <w:suppressLineNumbers w:val="0"/>
        <w:spacing w:before="0" w:beforeAutospacing="0" w:after="0" w:afterAutospacing="0" w:line="240" w:lineRule="auto"/>
        <w:ind w:left="833" w:right="0" w:hanging="408"/>
        <w:jc w:val="both"/>
        <w:rPr>
          <w:sz w:val="21"/>
          <w:szCs w:val="21"/>
        </w:rPr>
      </w:pPr>
      <w:r>
        <w:rPr>
          <w:rFonts w:hint="eastAsia" w:ascii="宋体" w:hAnsi="宋体" w:eastAsia="宋体" w:cs="宋体"/>
          <w:b w:val="0"/>
          <w:bCs w:val="0"/>
          <w:i w:val="0"/>
          <w:iCs w:val="0"/>
          <w:color w:val="333333"/>
          <w:spacing w:val="0"/>
          <w:w w:val="100"/>
          <w:sz w:val="21"/>
          <w:szCs w:val="21"/>
          <w:vertAlign w:val="baseline"/>
        </w:rPr>
        <w:t>a）实施正常监管，按正常比例抽查，一般情况下不列为专项整治对象；</w:t>
      </w:r>
    </w:p>
    <w:p>
      <w:pPr>
        <w:pStyle w:val="31"/>
        <w:keepNext w:val="0"/>
        <w:keepLines w:val="0"/>
        <w:widowControl/>
        <w:suppressLineNumbers w:val="0"/>
        <w:spacing w:before="0" w:beforeAutospacing="0" w:after="0" w:afterAutospacing="0" w:line="240" w:lineRule="auto"/>
        <w:ind w:left="833" w:right="0" w:hanging="408"/>
        <w:jc w:val="both"/>
        <w:rPr>
          <w:sz w:val="21"/>
          <w:szCs w:val="21"/>
        </w:rPr>
      </w:pPr>
      <w:r>
        <w:rPr>
          <w:rFonts w:hint="eastAsia" w:ascii="宋体" w:hAnsi="宋体" w:eastAsia="宋体" w:cs="宋体"/>
          <w:b w:val="0"/>
          <w:bCs w:val="0"/>
          <w:i w:val="0"/>
          <w:iCs w:val="0"/>
          <w:color w:val="333333"/>
          <w:spacing w:val="0"/>
          <w:w w:val="100"/>
          <w:sz w:val="21"/>
          <w:szCs w:val="21"/>
          <w:vertAlign w:val="baseline"/>
        </w:rPr>
        <w:t>b）若出现未造成社会危害的轻微违法行为，主动消除或者减轻违法行为危害后果的,依法从轻或者减轻行政处罚，并责令其改正。</w:t>
      </w:r>
    </w:p>
    <w:p>
      <w:pPr>
        <w:pStyle w:val="4"/>
        <w:keepNext w:val="0"/>
        <w:keepLines w:val="0"/>
        <w:widowControl/>
        <w:numPr>
          <w:ilvl w:val="1"/>
          <w:numId w:val="18"/>
        </w:numPr>
        <w:suppressLineNumbers w:val="0"/>
        <w:spacing w:before="156" w:beforeAutospacing="0" w:after="156" w:afterAutospacing="0" w:line="240" w:lineRule="auto"/>
        <w:ind w:left="0"/>
        <w:jc w:val="both"/>
        <w:rPr>
          <w:sz w:val="21"/>
          <w:szCs w:val="21"/>
        </w:rPr>
      </w:pPr>
      <w:r>
        <w:rPr>
          <w:rFonts w:hint="eastAsia" w:ascii="宋体" w:hAnsi="宋体" w:eastAsia="宋体" w:cs="宋体"/>
          <w:b w:val="0"/>
          <w:bCs w:val="0"/>
          <w:i w:val="0"/>
          <w:iCs w:val="0"/>
          <w:color w:val="333333"/>
          <w:spacing w:val="0"/>
          <w:w w:val="100"/>
          <w:sz w:val="21"/>
          <w:szCs w:val="21"/>
          <w:vertAlign w:val="baseline"/>
        </w:rPr>
        <w:t>对信用风险分类为C类的网络交易经营者，市网络市场监管部门联席会议成员单位采取以下措施：</w:t>
      </w:r>
    </w:p>
    <w:p>
      <w:pPr>
        <w:pStyle w:val="31"/>
        <w:keepNext w:val="0"/>
        <w:keepLines w:val="0"/>
        <w:widowControl/>
        <w:suppressLineNumbers w:val="0"/>
        <w:spacing w:before="0" w:beforeAutospacing="0" w:after="0" w:afterAutospacing="0" w:line="240" w:lineRule="auto"/>
        <w:ind w:left="833" w:right="0" w:hanging="408"/>
        <w:jc w:val="both"/>
        <w:rPr>
          <w:sz w:val="21"/>
          <w:szCs w:val="21"/>
        </w:rPr>
      </w:pPr>
      <w:r>
        <w:rPr>
          <w:rFonts w:hint="eastAsia" w:ascii="宋体" w:hAnsi="宋体" w:eastAsia="宋体" w:cs="宋体"/>
          <w:b w:val="0"/>
          <w:bCs w:val="0"/>
          <w:i w:val="0"/>
          <w:iCs w:val="0"/>
          <w:color w:val="333333"/>
          <w:spacing w:val="0"/>
          <w:w w:val="100"/>
          <w:sz w:val="21"/>
          <w:szCs w:val="21"/>
          <w:vertAlign w:val="baseline"/>
        </w:rPr>
        <w:t>a）在政府部门网站、“信用宿迁”网站等渠道公示其信用修复型信用承诺，加大社会监督力度；</w:t>
      </w:r>
    </w:p>
    <w:p>
      <w:pPr>
        <w:pStyle w:val="31"/>
        <w:keepNext w:val="0"/>
        <w:keepLines w:val="0"/>
        <w:widowControl/>
        <w:suppressLineNumbers w:val="0"/>
        <w:spacing w:before="0" w:beforeAutospacing="0" w:after="0" w:afterAutospacing="0" w:line="240" w:lineRule="auto"/>
        <w:ind w:left="833" w:right="0" w:hanging="408"/>
        <w:jc w:val="both"/>
        <w:rPr>
          <w:sz w:val="21"/>
          <w:szCs w:val="21"/>
        </w:rPr>
      </w:pPr>
      <w:r>
        <w:rPr>
          <w:rFonts w:hint="eastAsia" w:ascii="宋体" w:hAnsi="宋体" w:eastAsia="宋体" w:cs="宋体"/>
          <w:b w:val="0"/>
          <w:bCs w:val="0"/>
          <w:i w:val="0"/>
          <w:iCs w:val="0"/>
          <w:color w:val="333333"/>
          <w:spacing w:val="0"/>
          <w:w w:val="100"/>
          <w:sz w:val="21"/>
          <w:szCs w:val="21"/>
          <w:vertAlign w:val="baseline"/>
        </w:rPr>
        <w:t>b）实施重点监管，提高随机抽查比例，实行实地检查，列为专项整治的重点检查对象；</w:t>
      </w:r>
    </w:p>
    <w:p>
      <w:pPr>
        <w:pStyle w:val="31"/>
        <w:keepNext w:val="0"/>
        <w:keepLines w:val="0"/>
        <w:widowControl/>
        <w:suppressLineNumbers w:val="0"/>
        <w:spacing w:before="0" w:beforeAutospacing="0" w:after="0" w:afterAutospacing="0" w:line="240" w:lineRule="auto"/>
        <w:ind w:left="833" w:right="0" w:hanging="408"/>
        <w:jc w:val="both"/>
        <w:rPr>
          <w:sz w:val="21"/>
          <w:szCs w:val="21"/>
        </w:rPr>
      </w:pPr>
      <w:r>
        <w:rPr>
          <w:rFonts w:hint="eastAsia" w:ascii="宋体" w:hAnsi="宋体" w:eastAsia="宋体" w:cs="宋体"/>
          <w:b w:val="0"/>
          <w:bCs w:val="0"/>
          <w:i w:val="0"/>
          <w:iCs w:val="0"/>
          <w:color w:val="333333"/>
          <w:spacing w:val="0"/>
          <w:w w:val="100"/>
          <w:sz w:val="21"/>
          <w:szCs w:val="21"/>
          <w:vertAlign w:val="baseline"/>
        </w:rPr>
        <w:t>c）若出现违法违规行为，有关部门依法进行处罚；</w:t>
      </w:r>
    </w:p>
    <w:p>
      <w:pPr>
        <w:pStyle w:val="31"/>
        <w:keepNext w:val="0"/>
        <w:keepLines w:val="0"/>
        <w:widowControl/>
        <w:suppressLineNumbers w:val="0"/>
        <w:spacing w:before="0" w:beforeAutospacing="0" w:after="0" w:afterAutospacing="0" w:line="240" w:lineRule="auto"/>
        <w:ind w:left="833" w:right="0" w:hanging="408"/>
        <w:jc w:val="both"/>
        <w:rPr>
          <w:sz w:val="21"/>
          <w:szCs w:val="21"/>
        </w:rPr>
      </w:pPr>
      <w:r>
        <w:rPr>
          <w:rFonts w:hint="eastAsia" w:ascii="宋体" w:hAnsi="宋体" w:eastAsia="宋体" w:cs="宋体"/>
          <w:b w:val="0"/>
          <w:bCs w:val="0"/>
          <w:i w:val="0"/>
          <w:iCs w:val="0"/>
          <w:color w:val="333333"/>
          <w:spacing w:val="0"/>
          <w:w w:val="100"/>
          <w:sz w:val="21"/>
          <w:szCs w:val="21"/>
          <w:vertAlign w:val="baseline"/>
        </w:rPr>
        <w:t>d）从严审核参与的评优评先活动。</w:t>
      </w:r>
    </w:p>
    <w:p>
      <w:pPr>
        <w:pStyle w:val="4"/>
        <w:keepNext w:val="0"/>
        <w:keepLines w:val="0"/>
        <w:widowControl/>
        <w:numPr>
          <w:ilvl w:val="1"/>
          <w:numId w:val="18"/>
        </w:numPr>
        <w:suppressLineNumbers w:val="0"/>
        <w:spacing w:before="156" w:beforeAutospacing="0" w:after="156" w:afterAutospacing="0" w:line="240" w:lineRule="auto"/>
        <w:ind w:left="0"/>
        <w:jc w:val="both"/>
        <w:rPr>
          <w:sz w:val="21"/>
          <w:szCs w:val="21"/>
        </w:rPr>
      </w:pPr>
      <w:r>
        <w:rPr>
          <w:rFonts w:hint="eastAsia" w:ascii="宋体" w:hAnsi="宋体" w:eastAsia="宋体" w:cs="宋体"/>
          <w:b w:val="0"/>
          <w:bCs w:val="0"/>
          <w:i w:val="0"/>
          <w:iCs w:val="0"/>
          <w:color w:val="333333"/>
          <w:spacing w:val="0"/>
          <w:w w:val="100"/>
          <w:sz w:val="21"/>
          <w:szCs w:val="21"/>
          <w:vertAlign w:val="baseline"/>
        </w:rPr>
        <w:t>对信用风险分类为D类的网络交易经营者，市网络市场监管部门联席会议成员单位采取以下措施：</w:t>
      </w:r>
    </w:p>
    <w:p>
      <w:pPr>
        <w:pStyle w:val="31"/>
        <w:keepNext w:val="0"/>
        <w:keepLines w:val="0"/>
        <w:widowControl/>
        <w:suppressLineNumbers w:val="0"/>
        <w:spacing w:before="0" w:beforeAutospacing="0" w:after="0" w:afterAutospacing="0" w:line="240" w:lineRule="auto"/>
        <w:ind w:left="833" w:right="0" w:hanging="408"/>
        <w:jc w:val="both"/>
        <w:rPr>
          <w:sz w:val="21"/>
          <w:szCs w:val="21"/>
        </w:rPr>
      </w:pPr>
      <w:r>
        <w:rPr>
          <w:rFonts w:hint="eastAsia" w:ascii="宋体" w:hAnsi="宋体" w:eastAsia="宋体" w:cs="宋体"/>
          <w:b w:val="0"/>
          <w:bCs w:val="0"/>
          <w:i w:val="0"/>
          <w:iCs w:val="0"/>
          <w:color w:val="333333"/>
          <w:spacing w:val="0"/>
          <w:w w:val="100"/>
          <w:sz w:val="21"/>
          <w:szCs w:val="21"/>
          <w:vertAlign w:val="baseline"/>
        </w:rPr>
        <w:t>a）列入监管重点关注对象名单；</w:t>
      </w:r>
    </w:p>
    <w:p>
      <w:pPr>
        <w:pStyle w:val="31"/>
        <w:keepNext w:val="0"/>
        <w:keepLines w:val="0"/>
        <w:widowControl/>
        <w:suppressLineNumbers w:val="0"/>
        <w:spacing w:before="0" w:beforeAutospacing="0" w:after="0" w:afterAutospacing="0" w:line="240" w:lineRule="auto"/>
        <w:ind w:left="833" w:right="0" w:hanging="408"/>
        <w:jc w:val="both"/>
        <w:rPr>
          <w:sz w:val="21"/>
          <w:szCs w:val="21"/>
        </w:rPr>
      </w:pPr>
      <w:r>
        <w:rPr>
          <w:rFonts w:hint="eastAsia" w:ascii="宋体" w:hAnsi="宋体" w:eastAsia="宋体" w:cs="宋体"/>
          <w:b w:val="0"/>
          <w:bCs w:val="0"/>
          <w:i w:val="0"/>
          <w:iCs w:val="0"/>
          <w:color w:val="333333"/>
          <w:spacing w:val="0"/>
          <w:w w:val="100"/>
          <w:sz w:val="21"/>
          <w:szCs w:val="21"/>
          <w:vertAlign w:val="baseline"/>
        </w:rPr>
        <w:t>b）有关部门采取限期整改、失信提示、警示约谈等方式，并根据情况联合行业协会、网络交易平台等市场力量，督促其依法开展活动；</w:t>
      </w:r>
    </w:p>
    <w:p>
      <w:pPr>
        <w:pStyle w:val="31"/>
        <w:keepNext w:val="0"/>
        <w:keepLines w:val="0"/>
        <w:widowControl/>
        <w:suppressLineNumbers w:val="0"/>
        <w:spacing w:before="0" w:beforeAutospacing="0" w:after="0" w:afterAutospacing="0" w:line="240" w:lineRule="auto"/>
        <w:ind w:left="833" w:right="0" w:hanging="408"/>
        <w:jc w:val="both"/>
        <w:rPr>
          <w:sz w:val="21"/>
          <w:szCs w:val="21"/>
        </w:rPr>
      </w:pPr>
      <w:r>
        <w:rPr>
          <w:rFonts w:hint="eastAsia" w:ascii="宋体" w:hAnsi="宋体" w:eastAsia="宋体" w:cs="宋体"/>
          <w:b w:val="0"/>
          <w:bCs w:val="0"/>
          <w:i w:val="0"/>
          <w:iCs w:val="0"/>
          <w:color w:val="333333"/>
          <w:spacing w:val="0"/>
          <w:w w:val="100"/>
          <w:sz w:val="21"/>
          <w:szCs w:val="21"/>
          <w:vertAlign w:val="baseline"/>
        </w:rPr>
        <w:t>c）在政府部门网站、“信用宿迁”网站等渠道公示其信用修复型信用承诺，加大社会监督力度；</w:t>
      </w:r>
    </w:p>
    <w:p>
      <w:pPr>
        <w:pStyle w:val="31"/>
        <w:keepNext w:val="0"/>
        <w:keepLines w:val="0"/>
        <w:widowControl/>
        <w:suppressLineNumbers w:val="0"/>
        <w:spacing w:before="0" w:beforeAutospacing="0" w:after="0" w:afterAutospacing="0" w:line="240" w:lineRule="auto"/>
        <w:ind w:left="833" w:right="0" w:hanging="408"/>
        <w:jc w:val="both"/>
        <w:rPr>
          <w:sz w:val="21"/>
          <w:szCs w:val="21"/>
        </w:rPr>
      </w:pPr>
      <w:r>
        <w:rPr>
          <w:rFonts w:hint="eastAsia" w:ascii="宋体" w:hAnsi="宋体" w:eastAsia="宋体" w:cs="宋体"/>
          <w:b w:val="0"/>
          <w:bCs w:val="0"/>
          <w:i w:val="0"/>
          <w:iCs w:val="0"/>
          <w:color w:val="333333"/>
          <w:spacing w:val="0"/>
          <w:w w:val="100"/>
          <w:sz w:val="21"/>
          <w:szCs w:val="21"/>
          <w:vertAlign w:val="baseline"/>
        </w:rPr>
        <w:t>d）实施严格监管，提高随机抽查比例，严格实行实地检查，列为专项整治的重点治理对象；</w:t>
      </w:r>
    </w:p>
    <w:p>
      <w:pPr>
        <w:pStyle w:val="31"/>
        <w:keepNext w:val="0"/>
        <w:keepLines w:val="0"/>
        <w:widowControl/>
        <w:suppressLineNumbers w:val="0"/>
        <w:spacing w:before="0" w:beforeAutospacing="0" w:after="0" w:afterAutospacing="0" w:line="240" w:lineRule="auto"/>
        <w:ind w:left="833" w:right="0" w:hanging="408"/>
        <w:jc w:val="both"/>
        <w:rPr>
          <w:sz w:val="21"/>
          <w:szCs w:val="21"/>
        </w:rPr>
      </w:pPr>
      <w:r>
        <w:rPr>
          <w:rFonts w:hint="eastAsia" w:ascii="宋体" w:hAnsi="宋体" w:eastAsia="宋体" w:cs="宋体"/>
          <w:b w:val="0"/>
          <w:bCs w:val="0"/>
          <w:i w:val="0"/>
          <w:iCs w:val="0"/>
          <w:color w:val="333333"/>
          <w:spacing w:val="0"/>
          <w:w w:val="100"/>
          <w:sz w:val="21"/>
          <w:szCs w:val="21"/>
          <w:vertAlign w:val="baseline"/>
        </w:rPr>
        <w:t>e）若出现违法违规行为，有关部门依法进行处罚；</w:t>
      </w:r>
    </w:p>
    <w:p>
      <w:pPr>
        <w:pStyle w:val="31"/>
        <w:keepNext w:val="0"/>
        <w:keepLines w:val="0"/>
        <w:widowControl/>
        <w:suppressLineNumbers w:val="0"/>
        <w:spacing w:before="0" w:beforeAutospacing="0" w:after="0" w:afterAutospacing="0" w:line="240" w:lineRule="auto"/>
        <w:ind w:left="833" w:right="0" w:hanging="408"/>
        <w:jc w:val="both"/>
        <w:rPr>
          <w:sz w:val="21"/>
          <w:szCs w:val="21"/>
        </w:rPr>
      </w:pPr>
      <w:r>
        <w:rPr>
          <w:rFonts w:hint="eastAsia" w:ascii="宋体" w:hAnsi="宋体" w:eastAsia="宋体" w:cs="宋体"/>
          <w:b w:val="0"/>
          <w:bCs w:val="0"/>
          <w:i w:val="0"/>
          <w:iCs w:val="0"/>
          <w:color w:val="333333"/>
          <w:spacing w:val="0"/>
          <w:w w:val="100"/>
          <w:sz w:val="21"/>
          <w:szCs w:val="21"/>
          <w:vertAlign w:val="baseline"/>
        </w:rPr>
        <w:t>f）禁止参与评优评先活动；</w:t>
      </w:r>
    </w:p>
    <w:p>
      <w:pPr>
        <w:pStyle w:val="31"/>
        <w:keepNext w:val="0"/>
        <w:keepLines w:val="0"/>
        <w:widowControl/>
        <w:suppressLineNumbers w:val="0"/>
        <w:spacing w:before="0" w:beforeAutospacing="0" w:after="0" w:afterAutospacing="0" w:line="240" w:lineRule="auto"/>
        <w:ind w:left="833" w:right="0" w:hanging="408"/>
        <w:jc w:val="both"/>
        <w:rPr>
          <w:sz w:val="21"/>
          <w:szCs w:val="21"/>
        </w:rPr>
      </w:pPr>
      <w:r>
        <w:rPr>
          <w:rFonts w:hint="eastAsia" w:ascii="宋体" w:hAnsi="宋体" w:eastAsia="宋体" w:cs="宋体"/>
          <w:b w:val="0"/>
          <w:bCs w:val="0"/>
          <w:i w:val="0"/>
          <w:iCs w:val="0"/>
          <w:color w:val="333333"/>
          <w:spacing w:val="0"/>
          <w:w w:val="100"/>
          <w:sz w:val="21"/>
          <w:szCs w:val="21"/>
          <w:vertAlign w:val="baseline"/>
        </w:rPr>
        <w:t>g）从严审查提出的行政许可、注册备案、认证认可等申请。</w:t>
      </w:r>
    </w:p>
    <w:p>
      <w:pPr>
        <w:pStyle w:val="4"/>
        <w:keepNext w:val="0"/>
        <w:keepLines w:val="0"/>
        <w:widowControl/>
        <w:numPr>
          <w:ilvl w:val="1"/>
          <w:numId w:val="18"/>
        </w:numPr>
        <w:suppressLineNumbers w:val="0"/>
        <w:spacing w:before="156" w:beforeAutospacing="0" w:after="156" w:afterAutospacing="0" w:line="240" w:lineRule="auto"/>
        <w:ind w:left="0"/>
        <w:jc w:val="both"/>
        <w:rPr>
          <w:sz w:val="21"/>
          <w:szCs w:val="21"/>
        </w:rPr>
      </w:pPr>
      <w:r>
        <w:rPr>
          <w:rFonts w:hint="eastAsia" w:ascii="宋体" w:hAnsi="宋体" w:eastAsia="宋体" w:cs="宋体"/>
          <w:b w:val="0"/>
          <w:bCs w:val="0"/>
          <w:i w:val="0"/>
          <w:iCs w:val="0"/>
          <w:color w:val="333333"/>
          <w:spacing w:val="0"/>
          <w:w w:val="100"/>
          <w:sz w:val="21"/>
          <w:szCs w:val="21"/>
          <w:vertAlign w:val="baseline"/>
        </w:rPr>
        <w:t>对信用风险分类为U类的网络交易经营者，市网络市场监管部门联席会议成员单位采取以下措施：</w:t>
      </w:r>
    </w:p>
    <w:p>
      <w:pPr>
        <w:pStyle w:val="31"/>
        <w:keepNext w:val="0"/>
        <w:keepLines w:val="0"/>
        <w:widowControl/>
        <w:suppressLineNumbers w:val="0"/>
        <w:spacing w:before="0" w:beforeAutospacing="0" w:after="0" w:afterAutospacing="0" w:line="240" w:lineRule="auto"/>
        <w:ind w:left="833" w:right="0" w:hanging="408"/>
        <w:jc w:val="both"/>
        <w:rPr>
          <w:sz w:val="21"/>
          <w:szCs w:val="21"/>
        </w:rPr>
      </w:pPr>
      <w:r>
        <w:rPr>
          <w:rFonts w:hint="eastAsia" w:ascii="宋体" w:hAnsi="宋体" w:eastAsia="宋体" w:cs="宋体"/>
          <w:b w:val="0"/>
          <w:bCs w:val="0"/>
          <w:i w:val="0"/>
          <w:iCs w:val="0"/>
          <w:color w:val="333333"/>
          <w:spacing w:val="0"/>
          <w:w w:val="100"/>
          <w:sz w:val="21"/>
          <w:szCs w:val="21"/>
          <w:vertAlign w:val="baseline"/>
        </w:rPr>
        <w:t>a）建立经营主体数据库，开展在线监测，实施动态监管；</w:t>
      </w:r>
    </w:p>
    <w:p>
      <w:pPr>
        <w:pStyle w:val="31"/>
        <w:keepNext w:val="0"/>
        <w:keepLines w:val="0"/>
        <w:widowControl/>
        <w:suppressLineNumbers w:val="0"/>
        <w:spacing w:before="0" w:beforeAutospacing="0" w:after="0" w:afterAutospacing="0" w:line="240" w:lineRule="auto"/>
        <w:ind w:left="833" w:right="0" w:hanging="408"/>
        <w:jc w:val="both"/>
        <w:rPr>
          <w:sz w:val="21"/>
          <w:szCs w:val="21"/>
        </w:rPr>
      </w:pPr>
      <w:r>
        <w:rPr>
          <w:rFonts w:hint="eastAsia" w:ascii="宋体" w:hAnsi="宋体" w:eastAsia="宋体" w:cs="宋体"/>
          <w:b w:val="0"/>
          <w:bCs w:val="0"/>
          <w:i w:val="0"/>
          <w:iCs w:val="0"/>
          <w:color w:val="333333"/>
          <w:spacing w:val="0"/>
          <w:w w:val="100"/>
          <w:sz w:val="21"/>
          <w:szCs w:val="21"/>
          <w:vertAlign w:val="baseline"/>
        </w:rPr>
        <w:t>b）未按法定要求进行主体登记且不涉及行政许可的情形，采取责令改正措施，联合网络交易平台等市场力量，引导进行主体登记；</w:t>
      </w:r>
    </w:p>
    <w:p>
      <w:pPr>
        <w:pStyle w:val="31"/>
        <w:keepNext w:val="0"/>
        <w:keepLines w:val="0"/>
        <w:widowControl/>
        <w:suppressLineNumbers w:val="0"/>
        <w:spacing w:before="0" w:beforeAutospacing="0" w:after="0" w:afterAutospacing="0" w:line="240" w:lineRule="auto"/>
        <w:ind w:left="833" w:right="0" w:hanging="408"/>
        <w:jc w:val="both"/>
        <w:rPr>
          <w:sz w:val="21"/>
          <w:szCs w:val="21"/>
        </w:rPr>
      </w:pPr>
      <w:r>
        <w:rPr>
          <w:rFonts w:hint="eastAsia" w:ascii="宋体" w:hAnsi="宋体" w:eastAsia="宋体" w:cs="宋体"/>
          <w:b w:val="0"/>
          <w:bCs w:val="0"/>
          <w:i w:val="0"/>
          <w:iCs w:val="0"/>
          <w:color w:val="333333"/>
          <w:spacing w:val="0"/>
          <w:w w:val="100"/>
          <w:sz w:val="21"/>
          <w:szCs w:val="21"/>
          <w:vertAlign w:val="baseline"/>
        </w:rPr>
        <w:t>c）加强行政指导，引导、支持网络交易经营者完善信用信息，及时纳入信用风险分类管理。</w:t>
      </w:r>
    </w:p>
    <w:p>
      <w:pPr>
        <w:pStyle w:val="4"/>
        <w:keepNext w:val="0"/>
        <w:keepLines w:val="0"/>
        <w:widowControl/>
        <w:numPr>
          <w:ilvl w:val="1"/>
          <w:numId w:val="18"/>
        </w:numPr>
        <w:suppressLineNumbers w:val="0"/>
        <w:spacing w:before="156" w:beforeAutospacing="0" w:after="156" w:afterAutospacing="0" w:line="240" w:lineRule="auto"/>
        <w:ind w:left="0"/>
        <w:jc w:val="both"/>
        <w:rPr>
          <w:sz w:val="21"/>
          <w:szCs w:val="21"/>
        </w:rPr>
      </w:pPr>
      <w:r>
        <w:rPr>
          <w:rFonts w:hint="eastAsia" w:ascii="宋体" w:hAnsi="宋体" w:eastAsia="宋体" w:cs="宋体"/>
          <w:b w:val="0"/>
          <w:bCs w:val="0"/>
          <w:i w:val="0"/>
          <w:iCs w:val="0"/>
          <w:color w:val="333333"/>
          <w:spacing w:val="0"/>
          <w:w w:val="100"/>
          <w:sz w:val="21"/>
          <w:szCs w:val="21"/>
          <w:vertAlign w:val="baseline"/>
        </w:rPr>
        <w:t>鼓励网络交易平台经营者和第三方信用服务机构，在网络交易平台、搜索引擎、浏览器、杀防病毒软件、第三方软件下载平台、智能设备操作系统和移动社交工具，运用在线实时触发提醒等方式，将行政处罚、失信惩戒、投诉处理等负面信用信息向网络潜在消费者发布，提示网络消费安全。</w:t>
      </w:r>
    </w:p>
    <w:p>
      <w:pPr>
        <w:rPr>
          <w:rFonts w:hint="eastAsia" w:ascii="宋体" w:hAnsi="宋体" w:eastAsia="宋体" w:cs="宋体"/>
          <w:b w:val="0"/>
          <w:bCs w:val="0"/>
          <w:i w:val="0"/>
          <w:iCs w:val="0"/>
          <w:color w:val="333333"/>
          <w:spacing w:val="0"/>
          <w:w w:val="100"/>
          <w:sz w:val="21"/>
          <w:szCs w:val="21"/>
          <w:vertAlign w:val="baseline"/>
        </w:rPr>
      </w:pPr>
    </w:p>
    <w:p>
      <w:pPr>
        <w:rPr>
          <w:rFonts w:hint="eastAsia" w:ascii="宋体" w:hAnsi="宋体" w:eastAsia="宋体" w:cs="宋体"/>
          <w:b w:val="0"/>
          <w:bCs w:val="0"/>
          <w:i w:val="0"/>
          <w:iCs w:val="0"/>
          <w:color w:val="333333"/>
          <w:spacing w:val="0"/>
          <w:w w:val="100"/>
          <w:sz w:val="21"/>
          <w:szCs w:val="21"/>
          <w:vertAlign w:val="baseline"/>
        </w:rPr>
      </w:pPr>
    </w:p>
    <w:p>
      <w:pPr>
        <w:rPr>
          <w:rFonts w:hint="eastAsia" w:ascii="宋体" w:hAnsi="宋体" w:eastAsia="宋体" w:cs="宋体"/>
          <w:b w:val="0"/>
          <w:bCs w:val="0"/>
          <w:i w:val="0"/>
          <w:iCs w:val="0"/>
          <w:color w:val="333333"/>
          <w:spacing w:val="0"/>
          <w:w w:val="100"/>
          <w:sz w:val="21"/>
          <w:szCs w:val="21"/>
          <w:vertAlign w:val="baseline"/>
        </w:rPr>
      </w:pPr>
    </w:p>
    <w:p>
      <w:pPr>
        <w:rPr>
          <w:rFonts w:hint="eastAsia" w:ascii="宋体" w:hAnsi="宋体" w:eastAsia="宋体" w:cs="宋体"/>
          <w:b w:val="0"/>
          <w:bCs w:val="0"/>
          <w:i w:val="0"/>
          <w:iCs w:val="0"/>
          <w:color w:val="333333"/>
          <w:spacing w:val="0"/>
          <w:w w:val="100"/>
          <w:sz w:val="21"/>
          <w:szCs w:val="21"/>
          <w:vertAlign w:val="baseline"/>
        </w:rPr>
      </w:pPr>
    </w:p>
    <w:p>
      <w:pPr>
        <w:rPr>
          <w:rFonts w:hint="eastAsia" w:ascii="宋体" w:hAnsi="宋体" w:eastAsia="宋体" w:cs="宋体"/>
          <w:b w:val="0"/>
          <w:bCs w:val="0"/>
          <w:i w:val="0"/>
          <w:iCs w:val="0"/>
          <w:color w:val="333333"/>
          <w:spacing w:val="0"/>
          <w:w w:val="100"/>
          <w:sz w:val="21"/>
          <w:szCs w:val="21"/>
          <w:vertAlign w:val="baseline"/>
        </w:rPr>
      </w:pPr>
    </w:p>
    <w:p>
      <w:pPr>
        <w:rPr>
          <w:rFonts w:hint="eastAsia" w:ascii="宋体" w:hAnsi="宋体" w:eastAsia="宋体" w:cs="宋体"/>
          <w:b w:val="0"/>
          <w:bCs w:val="0"/>
          <w:i w:val="0"/>
          <w:iCs w:val="0"/>
          <w:color w:val="333333"/>
          <w:spacing w:val="0"/>
          <w:w w:val="100"/>
          <w:sz w:val="21"/>
          <w:szCs w:val="21"/>
          <w:vertAlign w:val="baseline"/>
        </w:rPr>
      </w:pPr>
    </w:p>
    <w:p>
      <w:pPr>
        <w:rPr>
          <w:rFonts w:hint="eastAsia" w:ascii="宋体" w:hAnsi="宋体" w:eastAsia="宋体" w:cs="宋体"/>
          <w:b w:val="0"/>
          <w:bCs w:val="0"/>
          <w:i w:val="0"/>
          <w:iCs w:val="0"/>
          <w:color w:val="333333"/>
          <w:spacing w:val="0"/>
          <w:w w:val="100"/>
          <w:sz w:val="21"/>
          <w:szCs w:val="21"/>
          <w:vertAlign w:val="baseline"/>
        </w:rPr>
      </w:pPr>
    </w:p>
    <w:p>
      <w:pPr>
        <w:rPr>
          <w:rFonts w:hint="eastAsia" w:ascii="宋体" w:hAnsi="宋体" w:eastAsia="宋体" w:cs="宋体"/>
          <w:b w:val="0"/>
          <w:bCs w:val="0"/>
          <w:i w:val="0"/>
          <w:iCs w:val="0"/>
          <w:color w:val="333333"/>
          <w:spacing w:val="0"/>
          <w:w w:val="100"/>
          <w:sz w:val="21"/>
          <w:szCs w:val="21"/>
          <w:vertAlign w:val="baseline"/>
        </w:rPr>
      </w:pPr>
    </w:p>
    <w:p>
      <w:pPr>
        <w:rPr>
          <w:rFonts w:hint="eastAsia" w:ascii="宋体" w:hAnsi="宋体" w:eastAsia="宋体" w:cs="宋体"/>
          <w:b w:val="0"/>
          <w:bCs w:val="0"/>
          <w:i w:val="0"/>
          <w:iCs w:val="0"/>
          <w:color w:val="333333"/>
          <w:spacing w:val="0"/>
          <w:w w:val="100"/>
          <w:sz w:val="21"/>
          <w:szCs w:val="21"/>
          <w:vertAlign w:val="baseline"/>
        </w:rPr>
      </w:pPr>
    </w:p>
    <w:p>
      <w:pPr>
        <w:rPr>
          <w:rFonts w:hint="eastAsia" w:ascii="宋体" w:hAnsi="宋体" w:eastAsia="宋体" w:cs="宋体"/>
          <w:b w:val="0"/>
          <w:bCs w:val="0"/>
          <w:i w:val="0"/>
          <w:iCs w:val="0"/>
          <w:color w:val="333333"/>
          <w:spacing w:val="0"/>
          <w:w w:val="100"/>
          <w:sz w:val="21"/>
          <w:szCs w:val="21"/>
          <w:vertAlign w:val="baseline"/>
        </w:rPr>
      </w:pPr>
    </w:p>
    <w:p>
      <w:pPr>
        <w:rPr>
          <w:rFonts w:hint="eastAsia" w:ascii="宋体" w:hAnsi="宋体" w:eastAsia="宋体" w:cs="宋体"/>
          <w:b w:val="0"/>
          <w:bCs w:val="0"/>
          <w:i w:val="0"/>
          <w:iCs w:val="0"/>
          <w:color w:val="333333"/>
          <w:spacing w:val="0"/>
          <w:w w:val="100"/>
          <w:sz w:val="21"/>
          <w:szCs w:val="21"/>
          <w:vertAlign w:val="baseline"/>
        </w:rPr>
      </w:pPr>
    </w:p>
    <w:p>
      <w:pPr>
        <w:rPr>
          <w:rFonts w:hint="eastAsia" w:ascii="宋体" w:hAnsi="宋体" w:eastAsia="宋体" w:cs="宋体"/>
          <w:b w:val="0"/>
          <w:bCs w:val="0"/>
          <w:i w:val="0"/>
          <w:iCs w:val="0"/>
          <w:color w:val="333333"/>
          <w:spacing w:val="0"/>
          <w:w w:val="100"/>
          <w:sz w:val="21"/>
          <w:szCs w:val="21"/>
          <w:vertAlign w:val="baseline"/>
        </w:rPr>
      </w:pPr>
    </w:p>
    <w:p>
      <w:pPr>
        <w:rPr>
          <w:rFonts w:hint="eastAsia" w:ascii="宋体" w:hAnsi="宋体" w:eastAsia="宋体" w:cs="宋体"/>
          <w:b w:val="0"/>
          <w:bCs w:val="0"/>
          <w:i w:val="0"/>
          <w:iCs w:val="0"/>
          <w:color w:val="333333"/>
          <w:spacing w:val="0"/>
          <w:w w:val="100"/>
          <w:sz w:val="21"/>
          <w:szCs w:val="21"/>
          <w:vertAlign w:val="baseline"/>
        </w:rPr>
      </w:pPr>
    </w:p>
    <w:p>
      <w:pPr>
        <w:rPr>
          <w:rFonts w:hint="eastAsia" w:ascii="宋体" w:hAnsi="宋体" w:eastAsia="宋体" w:cs="宋体"/>
          <w:b w:val="0"/>
          <w:bCs w:val="0"/>
          <w:i w:val="0"/>
          <w:iCs w:val="0"/>
          <w:color w:val="333333"/>
          <w:spacing w:val="0"/>
          <w:w w:val="100"/>
          <w:sz w:val="21"/>
          <w:szCs w:val="21"/>
          <w:vertAlign w:val="baseline"/>
        </w:rPr>
      </w:pPr>
    </w:p>
    <w:p>
      <w:pPr>
        <w:rPr>
          <w:rFonts w:hint="eastAsia" w:ascii="宋体" w:hAnsi="宋体" w:eastAsia="宋体" w:cs="宋体"/>
          <w:b w:val="0"/>
          <w:bCs w:val="0"/>
          <w:i w:val="0"/>
          <w:iCs w:val="0"/>
          <w:color w:val="333333"/>
          <w:spacing w:val="0"/>
          <w:w w:val="100"/>
          <w:sz w:val="21"/>
          <w:szCs w:val="21"/>
          <w:vertAlign w:val="baseline"/>
        </w:rPr>
      </w:pPr>
    </w:p>
    <w:p>
      <w:pPr>
        <w:rPr>
          <w:rFonts w:hint="eastAsia" w:ascii="宋体" w:hAnsi="宋体" w:eastAsia="宋体" w:cs="宋体"/>
          <w:b w:val="0"/>
          <w:bCs w:val="0"/>
          <w:i w:val="0"/>
          <w:iCs w:val="0"/>
          <w:color w:val="333333"/>
          <w:spacing w:val="0"/>
          <w:w w:val="100"/>
          <w:sz w:val="21"/>
          <w:szCs w:val="21"/>
          <w:vertAlign w:val="baseline"/>
        </w:rPr>
      </w:pPr>
    </w:p>
    <w:p>
      <w:pPr>
        <w:rPr>
          <w:rFonts w:hint="eastAsia" w:ascii="宋体" w:hAnsi="宋体" w:eastAsia="宋体" w:cs="宋体"/>
          <w:b w:val="0"/>
          <w:bCs w:val="0"/>
          <w:i w:val="0"/>
          <w:iCs w:val="0"/>
          <w:color w:val="333333"/>
          <w:spacing w:val="0"/>
          <w:w w:val="100"/>
          <w:sz w:val="21"/>
          <w:szCs w:val="21"/>
          <w:vertAlign w:val="baseline"/>
        </w:rPr>
      </w:pPr>
    </w:p>
    <w:p>
      <w:pPr>
        <w:rPr>
          <w:rFonts w:hint="eastAsia" w:ascii="宋体" w:hAnsi="宋体" w:eastAsia="宋体" w:cs="宋体"/>
          <w:b w:val="0"/>
          <w:bCs w:val="0"/>
          <w:i w:val="0"/>
          <w:iCs w:val="0"/>
          <w:color w:val="333333"/>
          <w:spacing w:val="0"/>
          <w:w w:val="100"/>
          <w:sz w:val="21"/>
          <w:szCs w:val="21"/>
          <w:vertAlign w:val="baseline"/>
        </w:rPr>
      </w:pPr>
    </w:p>
    <w:p>
      <w:pPr>
        <w:rPr>
          <w:rFonts w:hint="eastAsia" w:ascii="宋体" w:hAnsi="宋体" w:eastAsia="宋体" w:cs="宋体"/>
          <w:b w:val="0"/>
          <w:bCs w:val="0"/>
          <w:i w:val="0"/>
          <w:iCs w:val="0"/>
          <w:color w:val="333333"/>
          <w:spacing w:val="0"/>
          <w:w w:val="100"/>
          <w:sz w:val="21"/>
          <w:szCs w:val="21"/>
          <w:vertAlign w:val="baseline"/>
        </w:rPr>
      </w:pPr>
    </w:p>
    <w:p>
      <w:pPr>
        <w:rPr>
          <w:rFonts w:hint="eastAsia" w:ascii="宋体" w:hAnsi="宋体" w:eastAsia="宋体" w:cs="宋体"/>
          <w:b w:val="0"/>
          <w:bCs w:val="0"/>
          <w:i w:val="0"/>
          <w:iCs w:val="0"/>
          <w:color w:val="333333"/>
          <w:spacing w:val="0"/>
          <w:w w:val="100"/>
          <w:sz w:val="21"/>
          <w:szCs w:val="21"/>
          <w:vertAlign w:val="baseline"/>
        </w:rPr>
      </w:pPr>
    </w:p>
    <w:p>
      <w:pPr>
        <w:rPr>
          <w:rFonts w:hint="eastAsia" w:ascii="宋体" w:hAnsi="宋体" w:eastAsia="宋体" w:cs="宋体"/>
          <w:b w:val="0"/>
          <w:bCs w:val="0"/>
          <w:i w:val="0"/>
          <w:iCs w:val="0"/>
          <w:color w:val="333333"/>
          <w:spacing w:val="0"/>
          <w:w w:val="100"/>
          <w:sz w:val="21"/>
          <w:szCs w:val="21"/>
          <w:vertAlign w:val="baseline"/>
        </w:rPr>
      </w:pPr>
    </w:p>
    <w:p>
      <w:pPr>
        <w:rPr>
          <w:rFonts w:hint="eastAsia" w:ascii="宋体" w:hAnsi="宋体" w:eastAsia="宋体" w:cs="宋体"/>
          <w:b w:val="0"/>
          <w:bCs w:val="0"/>
          <w:i w:val="0"/>
          <w:iCs w:val="0"/>
          <w:color w:val="333333"/>
          <w:spacing w:val="0"/>
          <w:w w:val="100"/>
          <w:sz w:val="21"/>
          <w:szCs w:val="21"/>
          <w:vertAlign w:val="baseline"/>
        </w:rPr>
      </w:pPr>
    </w:p>
    <w:p>
      <w:pPr>
        <w:rPr>
          <w:rFonts w:hint="eastAsia" w:ascii="宋体" w:hAnsi="宋体" w:eastAsia="宋体" w:cs="宋体"/>
          <w:b w:val="0"/>
          <w:bCs w:val="0"/>
          <w:i w:val="0"/>
          <w:iCs w:val="0"/>
          <w:color w:val="333333"/>
          <w:spacing w:val="0"/>
          <w:w w:val="100"/>
          <w:sz w:val="21"/>
          <w:szCs w:val="21"/>
          <w:vertAlign w:val="baseline"/>
        </w:rPr>
      </w:pPr>
    </w:p>
    <w:p>
      <w:pPr>
        <w:rPr>
          <w:rFonts w:hint="eastAsia" w:ascii="宋体" w:hAnsi="宋体" w:eastAsia="宋体" w:cs="宋体"/>
          <w:b w:val="0"/>
          <w:bCs w:val="0"/>
          <w:i w:val="0"/>
          <w:iCs w:val="0"/>
          <w:color w:val="333333"/>
          <w:spacing w:val="0"/>
          <w:w w:val="100"/>
          <w:sz w:val="21"/>
          <w:szCs w:val="21"/>
          <w:vertAlign w:val="baseline"/>
        </w:rPr>
      </w:pPr>
    </w:p>
    <w:p>
      <w:pPr>
        <w:rPr>
          <w:rFonts w:hint="eastAsia" w:ascii="宋体" w:hAnsi="宋体" w:eastAsia="宋体" w:cs="宋体"/>
          <w:b w:val="0"/>
          <w:bCs w:val="0"/>
          <w:i w:val="0"/>
          <w:iCs w:val="0"/>
          <w:color w:val="333333"/>
          <w:spacing w:val="0"/>
          <w:w w:val="100"/>
          <w:sz w:val="21"/>
          <w:szCs w:val="21"/>
          <w:vertAlign w:val="baseline"/>
        </w:rPr>
      </w:pPr>
    </w:p>
    <w:p>
      <w:pPr>
        <w:rPr>
          <w:rFonts w:hint="eastAsia" w:ascii="宋体" w:hAnsi="宋体" w:eastAsia="宋体" w:cs="宋体"/>
          <w:b w:val="0"/>
          <w:bCs w:val="0"/>
          <w:i w:val="0"/>
          <w:iCs w:val="0"/>
          <w:color w:val="333333"/>
          <w:spacing w:val="0"/>
          <w:w w:val="100"/>
          <w:sz w:val="21"/>
          <w:szCs w:val="21"/>
          <w:vertAlign w:val="baseline"/>
        </w:rPr>
      </w:pPr>
    </w:p>
    <w:p>
      <w:pPr>
        <w:rPr>
          <w:rFonts w:hint="eastAsia" w:ascii="宋体" w:hAnsi="宋体" w:eastAsia="宋体" w:cs="宋体"/>
          <w:b w:val="0"/>
          <w:bCs w:val="0"/>
          <w:i w:val="0"/>
          <w:iCs w:val="0"/>
          <w:color w:val="333333"/>
          <w:spacing w:val="0"/>
          <w:w w:val="100"/>
          <w:sz w:val="21"/>
          <w:szCs w:val="21"/>
          <w:vertAlign w:val="baseline"/>
        </w:rPr>
      </w:pPr>
    </w:p>
    <w:p>
      <w:pPr>
        <w:rPr>
          <w:rFonts w:hint="eastAsia" w:ascii="宋体" w:hAnsi="宋体" w:eastAsia="宋体" w:cs="宋体"/>
          <w:b w:val="0"/>
          <w:bCs w:val="0"/>
          <w:i w:val="0"/>
          <w:iCs w:val="0"/>
          <w:color w:val="333333"/>
          <w:spacing w:val="0"/>
          <w:w w:val="100"/>
          <w:sz w:val="21"/>
          <w:szCs w:val="21"/>
          <w:vertAlign w:val="baseline"/>
        </w:rPr>
      </w:pPr>
    </w:p>
    <w:p>
      <w:pPr>
        <w:rPr>
          <w:rFonts w:hint="eastAsia" w:ascii="宋体" w:hAnsi="宋体" w:eastAsia="宋体" w:cs="宋体"/>
          <w:b w:val="0"/>
          <w:bCs w:val="0"/>
          <w:i w:val="0"/>
          <w:iCs w:val="0"/>
          <w:color w:val="333333"/>
          <w:spacing w:val="0"/>
          <w:w w:val="100"/>
          <w:sz w:val="21"/>
          <w:szCs w:val="21"/>
          <w:vertAlign w:val="baseline"/>
        </w:rPr>
      </w:pPr>
    </w:p>
    <w:p>
      <w:pPr>
        <w:rPr>
          <w:rFonts w:hint="eastAsia" w:ascii="宋体" w:hAnsi="宋体" w:eastAsia="宋体" w:cs="宋体"/>
          <w:b w:val="0"/>
          <w:bCs w:val="0"/>
          <w:i w:val="0"/>
          <w:iCs w:val="0"/>
          <w:color w:val="333333"/>
          <w:spacing w:val="0"/>
          <w:w w:val="100"/>
          <w:sz w:val="21"/>
          <w:szCs w:val="21"/>
          <w:vertAlign w:val="baseline"/>
        </w:rPr>
      </w:pPr>
    </w:p>
    <w:p>
      <w:pPr>
        <w:rPr>
          <w:rFonts w:hint="eastAsia" w:ascii="宋体" w:hAnsi="宋体" w:eastAsia="宋体" w:cs="宋体"/>
          <w:b w:val="0"/>
          <w:bCs w:val="0"/>
          <w:i w:val="0"/>
          <w:iCs w:val="0"/>
          <w:color w:val="333333"/>
          <w:spacing w:val="0"/>
          <w:w w:val="100"/>
          <w:sz w:val="21"/>
          <w:szCs w:val="21"/>
          <w:vertAlign w:val="baseline"/>
        </w:rPr>
      </w:pPr>
    </w:p>
    <w:p>
      <w:pPr>
        <w:rPr>
          <w:rFonts w:hint="eastAsia" w:ascii="宋体" w:hAnsi="宋体" w:eastAsia="宋体" w:cs="宋体"/>
          <w:b w:val="0"/>
          <w:bCs w:val="0"/>
          <w:i w:val="0"/>
          <w:iCs w:val="0"/>
          <w:color w:val="333333"/>
          <w:spacing w:val="0"/>
          <w:w w:val="100"/>
          <w:sz w:val="21"/>
          <w:szCs w:val="21"/>
          <w:vertAlign w:val="baseline"/>
        </w:rPr>
      </w:pPr>
    </w:p>
    <w:p>
      <w:pPr>
        <w:rPr>
          <w:rFonts w:hint="eastAsia" w:ascii="宋体" w:hAnsi="宋体" w:eastAsia="宋体" w:cs="宋体"/>
          <w:b w:val="0"/>
          <w:bCs w:val="0"/>
          <w:i w:val="0"/>
          <w:iCs w:val="0"/>
          <w:color w:val="333333"/>
          <w:spacing w:val="0"/>
          <w:w w:val="100"/>
          <w:sz w:val="21"/>
          <w:szCs w:val="21"/>
          <w:vertAlign w:val="baseline"/>
        </w:rPr>
      </w:pPr>
    </w:p>
    <w:p>
      <w:pPr>
        <w:rPr>
          <w:rFonts w:hint="eastAsia" w:ascii="宋体" w:hAnsi="宋体" w:eastAsia="宋体" w:cs="宋体"/>
          <w:b w:val="0"/>
          <w:bCs w:val="0"/>
          <w:i w:val="0"/>
          <w:iCs w:val="0"/>
          <w:color w:val="333333"/>
          <w:spacing w:val="0"/>
          <w:w w:val="100"/>
          <w:sz w:val="21"/>
          <w:szCs w:val="21"/>
          <w:vertAlign w:val="baseline"/>
        </w:rPr>
      </w:pPr>
    </w:p>
    <w:p>
      <w:pPr>
        <w:rPr>
          <w:rFonts w:hint="eastAsia" w:ascii="宋体" w:hAnsi="宋体" w:eastAsia="宋体" w:cs="宋体"/>
          <w:b w:val="0"/>
          <w:bCs w:val="0"/>
          <w:i w:val="0"/>
          <w:iCs w:val="0"/>
          <w:color w:val="333333"/>
          <w:spacing w:val="0"/>
          <w:w w:val="100"/>
          <w:sz w:val="21"/>
          <w:szCs w:val="21"/>
          <w:vertAlign w:val="baseline"/>
        </w:rPr>
      </w:pPr>
    </w:p>
    <w:p>
      <w:pPr>
        <w:pStyle w:val="2"/>
        <w:keepNext w:val="0"/>
        <w:keepLines w:val="0"/>
        <w:widowControl/>
        <w:numPr>
          <w:ilvl w:val="0"/>
          <w:numId w:val="19"/>
        </w:numPr>
        <w:suppressLineNumbers w:val="0"/>
        <w:spacing w:before="640" w:beforeAutospacing="0" w:after="280" w:afterAutospacing="0" w:line="240" w:lineRule="auto"/>
        <w:ind w:left="0"/>
        <w:jc w:val="center"/>
        <w:rPr>
          <w:sz w:val="21"/>
          <w:szCs w:val="21"/>
        </w:rPr>
      </w:pPr>
      <w:r>
        <w:rPr>
          <w:sz w:val="21"/>
          <w:szCs w:val="21"/>
        </w:rPr>
        <w:t xml:space="preserve"> </w:t>
      </w:r>
      <w:r>
        <w:rPr>
          <w:rFonts w:hint="eastAsia" w:ascii="黑体" w:hAnsi="宋体" w:eastAsia="黑体" w:cs="黑体"/>
          <w:b w:val="0"/>
          <w:bCs w:val="0"/>
          <w:i w:val="0"/>
          <w:iCs w:val="0"/>
          <w:color w:val="333333"/>
          <w:spacing w:val="0"/>
          <w:w w:val="100"/>
          <w:sz w:val="21"/>
          <w:szCs w:val="21"/>
          <w:vertAlign w:val="baseline"/>
        </w:rPr>
        <w:br w:type="textWrapping"/>
      </w:r>
      <w:r>
        <w:rPr>
          <w:rFonts w:hint="eastAsia" w:ascii="黑体" w:hAnsi="宋体" w:eastAsia="黑体" w:cs="黑体"/>
          <w:b w:val="0"/>
          <w:bCs w:val="0"/>
          <w:i w:val="0"/>
          <w:iCs w:val="0"/>
          <w:color w:val="333333"/>
          <w:spacing w:val="0"/>
          <w:w w:val="100"/>
          <w:sz w:val="21"/>
          <w:szCs w:val="21"/>
          <w:vertAlign w:val="baseline"/>
        </w:rPr>
        <w:t>（规范性附录）</w:t>
      </w:r>
      <w:r>
        <w:rPr>
          <w:rFonts w:hint="eastAsia" w:ascii="黑体" w:hAnsi="宋体" w:eastAsia="黑体" w:cs="黑体"/>
          <w:b w:val="0"/>
          <w:bCs w:val="0"/>
          <w:i w:val="0"/>
          <w:iCs w:val="0"/>
          <w:color w:val="333333"/>
          <w:spacing w:val="0"/>
          <w:w w:val="100"/>
          <w:sz w:val="21"/>
          <w:szCs w:val="21"/>
          <w:vertAlign w:val="baseline"/>
        </w:rPr>
        <w:br w:type="textWrapping"/>
      </w:r>
      <w:r>
        <w:rPr>
          <w:rFonts w:hint="eastAsia" w:ascii="黑体" w:hAnsi="宋体" w:eastAsia="黑体" w:cs="黑体"/>
          <w:b w:val="0"/>
          <w:bCs w:val="0"/>
          <w:i w:val="0"/>
          <w:iCs w:val="0"/>
          <w:color w:val="333333"/>
          <w:spacing w:val="0"/>
          <w:w w:val="100"/>
          <w:sz w:val="21"/>
          <w:szCs w:val="21"/>
          <w:vertAlign w:val="baseline"/>
        </w:rPr>
        <w:t>网络交易经营者信用风险分类指标体系</w:t>
      </w:r>
    </w:p>
    <w:p>
      <w:pPr>
        <w:pStyle w:val="3"/>
        <w:keepNext w:val="0"/>
        <w:keepLines w:val="0"/>
        <w:widowControl/>
        <w:numPr>
          <w:ilvl w:val="1"/>
          <w:numId w:val="19"/>
        </w:numPr>
        <w:suppressLineNumbers w:val="0"/>
        <w:spacing w:before="312" w:beforeAutospacing="0" w:after="312" w:afterAutospacing="0" w:line="240" w:lineRule="auto"/>
        <w:ind w:left="0"/>
        <w:jc w:val="both"/>
        <w:rPr>
          <w:sz w:val="21"/>
          <w:szCs w:val="21"/>
        </w:rPr>
      </w:pPr>
      <w:r>
        <w:rPr>
          <w:sz w:val="21"/>
          <w:szCs w:val="21"/>
        </w:rPr>
        <w:t xml:space="preserve"> </w:t>
      </w:r>
      <w:r>
        <w:rPr>
          <w:rFonts w:hint="eastAsia" w:ascii="黑体" w:hAnsi="宋体" w:eastAsia="黑体" w:cs="黑体"/>
          <w:b w:val="0"/>
          <w:bCs w:val="0"/>
          <w:i w:val="0"/>
          <w:iCs w:val="0"/>
          <w:color w:val="333333"/>
          <w:spacing w:val="0"/>
          <w:w w:val="100"/>
          <w:sz w:val="21"/>
          <w:szCs w:val="21"/>
          <w:vertAlign w:val="baseline"/>
        </w:rPr>
        <w:t>网络交易经营者信用风险分类指标体系</w:t>
      </w:r>
    </w:p>
    <w:p>
      <w:pPr>
        <w:pStyle w:val="31"/>
        <w:keepNext w:val="0"/>
        <w:keepLines w:val="0"/>
        <w:widowControl/>
        <w:suppressLineNumbers w:val="0"/>
        <w:spacing w:before="0" w:beforeAutospacing="0" w:after="0" w:afterAutospacing="0" w:line="240" w:lineRule="auto"/>
        <w:ind w:left="0" w:right="0" w:firstLine="420"/>
        <w:jc w:val="both"/>
      </w:pPr>
      <w:r>
        <w:rPr>
          <w:rFonts w:hint="eastAsia" w:ascii="宋体" w:hAnsi="宋体" w:eastAsia="宋体" w:cs="宋体"/>
          <w:b w:val="0"/>
          <w:bCs w:val="0"/>
          <w:i w:val="0"/>
          <w:iCs w:val="0"/>
          <w:color w:val="333333"/>
          <w:spacing w:val="0"/>
          <w:w w:val="100"/>
          <w:sz w:val="21"/>
          <w:szCs w:val="21"/>
          <w:vertAlign w:val="baseline"/>
        </w:rPr>
        <w:t>网络交易经营者信用风险分类指标体系见表A.1。</w:t>
      </w:r>
    </w:p>
    <w:p>
      <w:pPr>
        <w:pStyle w:val="31"/>
        <w:keepNext w:val="0"/>
        <w:keepLines w:val="0"/>
        <w:widowControl/>
        <w:numPr>
          <w:ilvl w:val="1"/>
          <w:numId w:val="20"/>
        </w:numPr>
        <w:suppressLineNumbers w:val="0"/>
        <w:spacing w:before="156" w:beforeAutospacing="0" w:after="156" w:afterAutospacing="0" w:line="240" w:lineRule="auto"/>
        <w:ind w:left="0" w:right="0" w:hanging="567"/>
        <w:jc w:val="center"/>
        <w:rPr>
          <w:sz w:val="21"/>
          <w:szCs w:val="21"/>
        </w:rPr>
      </w:pPr>
      <w:r>
        <w:rPr>
          <w:sz w:val="21"/>
          <w:szCs w:val="21"/>
        </w:rPr>
        <w:t xml:space="preserve"> </w:t>
      </w:r>
      <w:r>
        <w:rPr>
          <w:rFonts w:hint="eastAsia" w:ascii="黑体" w:hAnsi="宋体" w:eastAsia="黑体" w:cs="黑体"/>
          <w:b w:val="0"/>
          <w:bCs w:val="0"/>
          <w:i w:val="0"/>
          <w:iCs w:val="0"/>
          <w:color w:val="333333"/>
          <w:spacing w:val="0"/>
          <w:w w:val="100"/>
          <w:sz w:val="21"/>
          <w:szCs w:val="21"/>
          <w:vertAlign w:val="baseline"/>
        </w:rPr>
        <w:t>网络交易经营者信用风险分类指标体系</w:t>
      </w:r>
    </w:p>
    <w:tbl>
      <w:tblPr>
        <w:tblStyle w:val="33"/>
        <w:tblW w:w="978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254"/>
        <w:gridCol w:w="1446"/>
        <w:gridCol w:w="1841"/>
        <w:gridCol w:w="2474"/>
        <w:gridCol w:w="1282"/>
        <w:gridCol w:w="14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95" w:hRule="atLeast"/>
          <w:jc w:val="center"/>
        </w:trPr>
        <w:tc>
          <w:tcPr>
            <w:tcW w:w="125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一级指标</w:t>
            </w:r>
          </w:p>
        </w:tc>
        <w:tc>
          <w:tcPr>
            <w:tcW w:w="14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二级指标</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三级指标</w:t>
            </w:r>
          </w:p>
        </w:tc>
        <w:tc>
          <w:tcPr>
            <w:tcW w:w="24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说明</w:t>
            </w: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指标属性</w:t>
            </w:r>
          </w:p>
        </w:tc>
        <w:tc>
          <w:tcPr>
            <w:tcW w:w="149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40" w:hRule="atLeast"/>
          <w:jc w:val="center"/>
        </w:trPr>
        <w:tc>
          <w:tcPr>
            <w:tcW w:w="1254" w:type="dxa"/>
            <w:vMerge w:val="restart"/>
            <w:tcBorders>
              <w:top w:val="single" w:color="000000" w:sz="4" w:space="0"/>
              <w:left w:val="single" w:color="000000" w:sz="4" w:space="0"/>
              <w:bottom w:val="nil"/>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基础信息150分</w:t>
            </w:r>
          </w:p>
        </w:tc>
        <w:tc>
          <w:tcPr>
            <w:tcW w:w="14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登记情况100分</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是否依法登记</w:t>
            </w:r>
          </w:p>
        </w:tc>
        <w:tc>
          <w:tcPr>
            <w:tcW w:w="24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查看是否按法定要求进行主体登记，或营业执照是否失效、过期</w:t>
            </w: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负向指标</w:t>
            </w:r>
          </w:p>
        </w:tc>
        <w:tc>
          <w:tcPr>
            <w:tcW w:w="149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未登记或已失效、过期即扣100分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40" w:hRule="atLeast"/>
          <w:jc w:val="center"/>
        </w:trPr>
        <w:tc>
          <w:tcPr>
            <w:tcW w:w="1254" w:type="dxa"/>
            <w:vMerge w:val="continue"/>
            <w:tcBorders>
              <w:top w:val="single" w:color="000000" w:sz="4" w:space="0"/>
              <w:left w:val="single" w:color="000000" w:sz="4" w:space="0"/>
              <w:bottom w:val="nil"/>
              <w:right w:val="single" w:color="000000" w:sz="4" w:space="0"/>
            </w:tcBorders>
            <w:shd w:val="clear" w:color="auto" w:fill="auto"/>
            <w:tcMar>
              <w:top w:w="0" w:type="dxa"/>
              <w:left w:w="108" w:type="dxa"/>
              <w:bottom w:w="0" w:type="dxa"/>
              <w:right w:w="108" w:type="dxa"/>
            </w:tcMar>
            <w:vAlign w:val="center"/>
          </w:tcPr>
          <w:p>
            <w:pPr>
              <w:rPr>
                <w:rFonts w:hint="eastAsia" w:ascii="宋体"/>
                <w:sz w:val="24"/>
                <w:szCs w:val="24"/>
              </w:rPr>
            </w:pPr>
          </w:p>
        </w:tc>
        <w:tc>
          <w:tcPr>
            <w:tcW w:w="14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经营规模20分</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已登记的注册资本，依法无需登记的年销售额</w:t>
            </w:r>
          </w:p>
        </w:tc>
        <w:tc>
          <w:tcPr>
            <w:tcW w:w="24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实缴出资额或年网络销售额</w:t>
            </w: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正向指标</w:t>
            </w:r>
          </w:p>
        </w:tc>
        <w:tc>
          <w:tcPr>
            <w:tcW w:w="149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每增加50万加2分，20分封顶，取最高值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55" w:hRule="atLeast"/>
          <w:jc w:val="center"/>
        </w:trPr>
        <w:tc>
          <w:tcPr>
            <w:tcW w:w="125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rPr>
                <w:rFonts w:hint="eastAsia" w:ascii="宋体"/>
                <w:sz w:val="24"/>
                <w:szCs w:val="24"/>
              </w:rPr>
            </w:pPr>
          </w:p>
        </w:tc>
        <w:tc>
          <w:tcPr>
            <w:tcW w:w="14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经营时间30分</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登记时间或实际经营时间</w:t>
            </w:r>
          </w:p>
        </w:tc>
        <w:tc>
          <w:tcPr>
            <w:tcW w:w="24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登记或实际从事网络交易日期距统计日期时长</w:t>
            </w: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正向指标</w:t>
            </w:r>
          </w:p>
        </w:tc>
        <w:tc>
          <w:tcPr>
            <w:tcW w:w="149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每增加一年加5分，30分封顶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55" w:hRule="atLeast"/>
          <w:jc w:val="center"/>
        </w:trPr>
        <w:tc>
          <w:tcPr>
            <w:tcW w:w="1254" w:type="dxa"/>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动态信息200分</w:t>
            </w:r>
          </w:p>
        </w:tc>
        <w:tc>
          <w:tcPr>
            <w:tcW w:w="14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许可情况50分</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是否取得相应经营许可</w:t>
            </w:r>
          </w:p>
        </w:tc>
        <w:tc>
          <w:tcPr>
            <w:tcW w:w="24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统计时点下目标经营者未取得许可证的经营项目，或许可证过期</w:t>
            </w: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负向指标</w:t>
            </w:r>
          </w:p>
        </w:tc>
        <w:tc>
          <w:tcPr>
            <w:tcW w:w="149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未取得或过期即扣50分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85" w:hRule="atLeast"/>
          <w:jc w:val="center"/>
        </w:trPr>
        <w:tc>
          <w:tcPr>
            <w:tcW w:w="1254"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rPr>
                <w:rFonts w:hint="eastAsia" w:ascii="宋体"/>
                <w:sz w:val="24"/>
                <w:szCs w:val="24"/>
              </w:rPr>
            </w:pPr>
          </w:p>
        </w:tc>
        <w:tc>
          <w:tcPr>
            <w:tcW w:w="14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备案情况50分</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是否按规定备案</w:t>
            </w:r>
          </w:p>
        </w:tc>
        <w:tc>
          <w:tcPr>
            <w:tcW w:w="24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统计时点下目标经营者是否未经登记备案，擅自变更经营地点等事项</w:t>
            </w: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负向指标</w:t>
            </w:r>
          </w:p>
        </w:tc>
        <w:tc>
          <w:tcPr>
            <w:tcW w:w="149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有一项扣10分，50分封顶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50" w:hRule="atLeast"/>
          <w:jc w:val="center"/>
        </w:trPr>
        <w:tc>
          <w:tcPr>
            <w:tcW w:w="1254"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rPr>
                <w:rFonts w:hint="eastAsia" w:ascii="宋体"/>
                <w:sz w:val="24"/>
                <w:szCs w:val="24"/>
              </w:rPr>
            </w:pPr>
          </w:p>
        </w:tc>
        <w:tc>
          <w:tcPr>
            <w:tcW w:w="14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年报公示60分</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是否按规定年报</w:t>
            </w:r>
          </w:p>
        </w:tc>
        <w:tc>
          <w:tcPr>
            <w:tcW w:w="24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近三年目标经营者是否在规定时间内报送年报</w:t>
            </w: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负向指标</w:t>
            </w:r>
          </w:p>
        </w:tc>
        <w:tc>
          <w:tcPr>
            <w:tcW w:w="149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有一年扣20分，60分封顶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5" w:hRule="atLeast"/>
          <w:jc w:val="center"/>
        </w:trPr>
        <w:tc>
          <w:tcPr>
            <w:tcW w:w="1254"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rPr>
                <w:rFonts w:hint="eastAsia" w:ascii="宋体"/>
                <w:sz w:val="24"/>
                <w:szCs w:val="24"/>
              </w:rPr>
            </w:pPr>
          </w:p>
        </w:tc>
        <w:tc>
          <w:tcPr>
            <w:tcW w:w="1446" w:type="dxa"/>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知识产权20分</w:t>
            </w:r>
          </w:p>
        </w:tc>
        <w:tc>
          <w:tcPr>
            <w:tcW w:w="1841" w:type="dxa"/>
            <w:tcBorders>
              <w:top w:val="single" w:color="000000" w:sz="4" w:space="0"/>
              <w:left w:val="single" w:color="000000" w:sz="4" w:space="0"/>
              <w:bottom w:val="single" w:color="000000" w:sz="6"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有效注册商标数量10分</w:t>
            </w:r>
          </w:p>
        </w:tc>
        <w:tc>
          <w:tcPr>
            <w:tcW w:w="2474" w:type="dxa"/>
            <w:tcBorders>
              <w:top w:val="single" w:color="000000" w:sz="4" w:space="0"/>
              <w:left w:val="single" w:color="000000" w:sz="4" w:space="0"/>
              <w:bottom w:val="single" w:color="000000" w:sz="6"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统计时点下目标经营者有效注册商标数量</w:t>
            </w: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正向指标</w:t>
            </w:r>
          </w:p>
        </w:tc>
        <w:tc>
          <w:tcPr>
            <w:tcW w:w="149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每增加一个加2分，10分封顶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85" w:hRule="atLeast"/>
          <w:jc w:val="center"/>
        </w:trPr>
        <w:tc>
          <w:tcPr>
            <w:tcW w:w="1254"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rPr>
                <w:rFonts w:hint="eastAsia" w:ascii="宋体"/>
                <w:sz w:val="24"/>
                <w:szCs w:val="24"/>
              </w:rPr>
            </w:pPr>
          </w:p>
        </w:tc>
        <w:tc>
          <w:tcPr>
            <w:tcW w:w="144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rPr>
                <w:rFonts w:hint="eastAsia" w:ascii="宋体"/>
                <w:sz w:val="24"/>
                <w:szCs w:val="24"/>
              </w:rPr>
            </w:pPr>
          </w:p>
        </w:tc>
        <w:tc>
          <w:tcPr>
            <w:tcW w:w="1841" w:type="dxa"/>
            <w:tcBorders>
              <w:top w:val="single" w:color="000000" w:sz="6" w:space="0"/>
              <w:left w:val="single" w:color="000000" w:sz="6" w:space="0"/>
              <w:bottom w:val="single" w:color="000000" w:sz="6" w:space="0"/>
              <w:right w:val="single" w:color="000000" w:sz="6"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授权专利数量10分</w:t>
            </w:r>
          </w:p>
        </w:tc>
        <w:tc>
          <w:tcPr>
            <w:tcW w:w="2474" w:type="dxa"/>
            <w:tcBorders>
              <w:top w:val="single" w:color="000000" w:sz="6" w:space="0"/>
              <w:left w:val="single" w:color="000000" w:sz="6" w:space="0"/>
              <w:bottom w:val="single" w:color="000000" w:sz="6" w:space="0"/>
              <w:right w:val="single" w:color="000000" w:sz="6"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统计时点下目标经营者有效注册专利数量</w:t>
            </w:r>
          </w:p>
        </w:tc>
        <w:tc>
          <w:tcPr>
            <w:tcW w:w="1282" w:type="dxa"/>
            <w:tcBorders>
              <w:top w:val="single" w:color="000000" w:sz="4" w:space="0"/>
              <w:left w:val="single" w:color="000000" w:sz="6"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正向指标</w:t>
            </w:r>
          </w:p>
        </w:tc>
        <w:tc>
          <w:tcPr>
            <w:tcW w:w="149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每增加一个加2分，10分封顶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95" w:hRule="atLeast"/>
          <w:jc w:val="center"/>
        </w:trPr>
        <w:tc>
          <w:tcPr>
            <w:tcW w:w="1254"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rPr>
                <w:rFonts w:hint="eastAsia" w:ascii="宋体"/>
                <w:sz w:val="24"/>
                <w:szCs w:val="24"/>
              </w:rPr>
            </w:pPr>
          </w:p>
        </w:tc>
        <w:tc>
          <w:tcPr>
            <w:tcW w:w="1446" w:type="dxa"/>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认证事项20分</w:t>
            </w:r>
          </w:p>
        </w:tc>
        <w:tc>
          <w:tcPr>
            <w:tcW w:w="1841" w:type="dxa"/>
            <w:tcBorders>
              <w:top w:val="single" w:color="000000" w:sz="6"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获得管理体系认证或服务认证证书数6分</w:t>
            </w:r>
          </w:p>
        </w:tc>
        <w:tc>
          <w:tcPr>
            <w:tcW w:w="2474" w:type="dxa"/>
            <w:tcBorders>
              <w:top w:val="single" w:color="000000" w:sz="6"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统计时点下目标经营者获得的在有效期内的管理体系认证或服务认证证书数量</w:t>
            </w: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正向指标</w:t>
            </w:r>
          </w:p>
        </w:tc>
        <w:tc>
          <w:tcPr>
            <w:tcW w:w="149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每增加一个加2分，6分封顶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250" w:hRule="atLeast"/>
          <w:jc w:val="center"/>
        </w:trPr>
        <w:tc>
          <w:tcPr>
            <w:tcW w:w="1254"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rPr>
                <w:rFonts w:hint="eastAsia" w:ascii="宋体"/>
                <w:sz w:val="24"/>
                <w:szCs w:val="24"/>
              </w:rPr>
            </w:pPr>
          </w:p>
        </w:tc>
        <w:tc>
          <w:tcPr>
            <w:tcW w:w="144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rPr>
                <w:rFonts w:hint="eastAsia" w:ascii="宋体"/>
                <w:sz w:val="24"/>
                <w:szCs w:val="24"/>
              </w:rPr>
            </w:pP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获得相关的产品认证证书数量6分</w:t>
            </w:r>
          </w:p>
        </w:tc>
        <w:tc>
          <w:tcPr>
            <w:tcW w:w="24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统计时点下目标经营者获得的在有效期内相关的产品认证（如绿色认证、有机认证、软件产品等）证书数量</w:t>
            </w: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正向指标</w:t>
            </w:r>
          </w:p>
        </w:tc>
        <w:tc>
          <w:tcPr>
            <w:tcW w:w="149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每增加一个加2分，6分封顶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15" w:hRule="atLeast"/>
          <w:jc w:val="center"/>
        </w:trPr>
        <w:tc>
          <w:tcPr>
            <w:tcW w:w="1254"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rPr>
                <w:rFonts w:hint="eastAsia" w:ascii="宋体"/>
                <w:sz w:val="24"/>
                <w:szCs w:val="24"/>
              </w:rPr>
            </w:pPr>
          </w:p>
        </w:tc>
        <w:tc>
          <w:tcPr>
            <w:tcW w:w="144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rPr>
                <w:rFonts w:hint="eastAsia" w:ascii="宋体"/>
                <w:sz w:val="24"/>
                <w:szCs w:val="24"/>
              </w:rPr>
            </w:pP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三年内因质量或诚信原因被撤销认证证书的数量8分</w:t>
            </w:r>
          </w:p>
        </w:tc>
        <w:tc>
          <w:tcPr>
            <w:tcW w:w="24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三年内目标经营者因质量或诚信原因被撤销认证证书的数量</w:t>
            </w: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负向指标</w:t>
            </w:r>
          </w:p>
        </w:tc>
        <w:tc>
          <w:tcPr>
            <w:tcW w:w="149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每增加一个扣2分，8分封顶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25" w:hRule="atLeast"/>
          <w:jc w:val="center"/>
        </w:trPr>
        <w:tc>
          <w:tcPr>
            <w:tcW w:w="1254" w:type="dxa"/>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监管信息300分</w:t>
            </w:r>
          </w:p>
        </w:tc>
        <w:tc>
          <w:tcPr>
            <w:tcW w:w="1446" w:type="dxa"/>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经营异常80分</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当前是否列异50分</w:t>
            </w:r>
          </w:p>
        </w:tc>
        <w:tc>
          <w:tcPr>
            <w:tcW w:w="24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统计时点下目标经营者是否被列入经营异常名录</w:t>
            </w: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负向指标</w:t>
            </w:r>
          </w:p>
        </w:tc>
        <w:tc>
          <w:tcPr>
            <w:tcW w:w="149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是即扣50分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75" w:hRule="atLeast"/>
          <w:jc w:val="center"/>
        </w:trPr>
        <w:tc>
          <w:tcPr>
            <w:tcW w:w="1254"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rPr>
                <w:rFonts w:hint="eastAsia" w:ascii="宋体"/>
                <w:sz w:val="24"/>
                <w:szCs w:val="24"/>
              </w:rPr>
            </w:pPr>
          </w:p>
        </w:tc>
        <w:tc>
          <w:tcPr>
            <w:tcW w:w="144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rPr>
                <w:rFonts w:hint="eastAsia" w:ascii="宋体"/>
                <w:sz w:val="24"/>
                <w:szCs w:val="24"/>
              </w:rPr>
            </w:pP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三年内列异次数30分</w:t>
            </w:r>
          </w:p>
        </w:tc>
        <w:tc>
          <w:tcPr>
            <w:tcW w:w="24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三年内目标经营者被列入经营异常名录次数</w:t>
            </w: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负向指标</w:t>
            </w:r>
          </w:p>
        </w:tc>
        <w:tc>
          <w:tcPr>
            <w:tcW w:w="149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一次扣10分，30分封顶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25" w:hRule="atLeast"/>
          <w:jc w:val="center"/>
        </w:trPr>
        <w:tc>
          <w:tcPr>
            <w:tcW w:w="1254"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rPr>
                <w:rFonts w:hint="eastAsia" w:ascii="宋体"/>
                <w:sz w:val="24"/>
                <w:szCs w:val="24"/>
              </w:rPr>
            </w:pPr>
          </w:p>
        </w:tc>
        <w:tc>
          <w:tcPr>
            <w:tcW w:w="14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严重失信主体名单（黑名单）</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当前是否列入黑名单</w:t>
            </w:r>
          </w:p>
        </w:tc>
        <w:tc>
          <w:tcPr>
            <w:tcW w:w="24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统计时点下目标经营者是否被监管部门列入黑名单</w:t>
            </w: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负向指标</w:t>
            </w:r>
          </w:p>
        </w:tc>
        <w:tc>
          <w:tcPr>
            <w:tcW w:w="149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定性指标，直接归为D类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10" w:hRule="atLeast"/>
          <w:jc w:val="center"/>
        </w:trPr>
        <w:tc>
          <w:tcPr>
            <w:tcW w:w="1254"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rPr>
                <w:rFonts w:hint="eastAsia" w:ascii="宋体"/>
                <w:sz w:val="24"/>
                <w:szCs w:val="24"/>
              </w:rPr>
            </w:pPr>
          </w:p>
        </w:tc>
        <w:tc>
          <w:tcPr>
            <w:tcW w:w="1446" w:type="dxa"/>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行政处罚70分</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三年内受到行政处罚次数40分</w:t>
            </w:r>
          </w:p>
        </w:tc>
        <w:tc>
          <w:tcPr>
            <w:tcW w:w="24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三年内目标经营者受到监管部门行政处罚次数</w:t>
            </w: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负向指标</w:t>
            </w:r>
          </w:p>
        </w:tc>
        <w:tc>
          <w:tcPr>
            <w:tcW w:w="149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一次扣10分，40分封顶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45" w:hRule="atLeast"/>
          <w:jc w:val="center"/>
        </w:trPr>
        <w:tc>
          <w:tcPr>
            <w:tcW w:w="1254"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rPr>
                <w:rFonts w:hint="eastAsia" w:ascii="宋体"/>
                <w:sz w:val="24"/>
                <w:szCs w:val="24"/>
              </w:rPr>
            </w:pPr>
          </w:p>
        </w:tc>
        <w:tc>
          <w:tcPr>
            <w:tcW w:w="144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rPr>
                <w:rFonts w:hint="eastAsia" w:ascii="宋体"/>
                <w:sz w:val="24"/>
                <w:szCs w:val="24"/>
              </w:rPr>
            </w:pP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逾期未交纳罚款30分</w:t>
            </w:r>
          </w:p>
        </w:tc>
        <w:tc>
          <w:tcPr>
            <w:tcW w:w="24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是否存在逾期未交纳罚款情况</w:t>
            </w: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负向指标</w:t>
            </w:r>
          </w:p>
        </w:tc>
        <w:tc>
          <w:tcPr>
            <w:tcW w:w="149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是即扣30分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10" w:hRule="atLeast"/>
          <w:jc w:val="center"/>
        </w:trPr>
        <w:tc>
          <w:tcPr>
            <w:tcW w:w="1254"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rPr>
                <w:rFonts w:hint="eastAsia" w:ascii="宋体"/>
                <w:sz w:val="24"/>
                <w:szCs w:val="24"/>
              </w:rPr>
            </w:pPr>
          </w:p>
        </w:tc>
        <w:tc>
          <w:tcPr>
            <w:tcW w:w="1446" w:type="dxa"/>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行政检查100分</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不配合检查情节严重40分</w:t>
            </w:r>
          </w:p>
        </w:tc>
        <w:tc>
          <w:tcPr>
            <w:tcW w:w="24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是否有双随机、专项检査等不配合检査情节严重情形</w:t>
            </w: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负向指标</w:t>
            </w:r>
          </w:p>
        </w:tc>
        <w:tc>
          <w:tcPr>
            <w:tcW w:w="149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是即扣40分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55" w:hRule="atLeast"/>
          <w:jc w:val="center"/>
        </w:trPr>
        <w:tc>
          <w:tcPr>
            <w:tcW w:w="1254"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rPr>
                <w:rFonts w:hint="eastAsia" w:ascii="宋体"/>
                <w:sz w:val="24"/>
                <w:szCs w:val="24"/>
              </w:rPr>
            </w:pPr>
          </w:p>
        </w:tc>
        <w:tc>
          <w:tcPr>
            <w:tcW w:w="144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rPr>
                <w:rFonts w:hint="eastAsia" w:ascii="宋体"/>
                <w:sz w:val="24"/>
                <w:szCs w:val="24"/>
              </w:rPr>
            </w:pP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问题改正情况40分</w:t>
            </w:r>
          </w:p>
        </w:tc>
        <w:tc>
          <w:tcPr>
            <w:tcW w:w="24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是否有双随机、专项检査等发现问题已责令改正但未按要求整改情形</w:t>
            </w: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负向指标</w:t>
            </w:r>
          </w:p>
        </w:tc>
        <w:tc>
          <w:tcPr>
            <w:tcW w:w="149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一次扣20分，40分封顶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35" w:hRule="atLeast"/>
          <w:jc w:val="center"/>
        </w:trPr>
        <w:tc>
          <w:tcPr>
            <w:tcW w:w="1254"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rPr>
                <w:rFonts w:hint="eastAsia" w:ascii="宋体"/>
                <w:sz w:val="24"/>
                <w:szCs w:val="24"/>
              </w:rPr>
            </w:pPr>
          </w:p>
        </w:tc>
        <w:tc>
          <w:tcPr>
            <w:tcW w:w="144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rPr>
                <w:rFonts w:hint="eastAsia" w:ascii="宋体"/>
                <w:sz w:val="24"/>
                <w:szCs w:val="24"/>
              </w:rPr>
            </w:pP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问题待后续处理20分</w:t>
            </w:r>
          </w:p>
        </w:tc>
        <w:tc>
          <w:tcPr>
            <w:tcW w:w="24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是否有双随机、专项检査等发现问题待后续处理但未按要求处理情形</w:t>
            </w: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负向指标</w:t>
            </w:r>
          </w:p>
        </w:tc>
        <w:tc>
          <w:tcPr>
            <w:tcW w:w="149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一次扣10分，20分封顶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30" w:hRule="atLeast"/>
          <w:jc w:val="center"/>
        </w:trPr>
        <w:tc>
          <w:tcPr>
            <w:tcW w:w="1254"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rPr>
                <w:rFonts w:hint="eastAsia" w:ascii="宋体"/>
                <w:sz w:val="24"/>
                <w:szCs w:val="24"/>
              </w:rPr>
            </w:pPr>
          </w:p>
        </w:tc>
        <w:tc>
          <w:tcPr>
            <w:tcW w:w="14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诉讼信息50分</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三年内诉讼败诉数量</w:t>
            </w:r>
          </w:p>
        </w:tc>
        <w:tc>
          <w:tcPr>
            <w:tcW w:w="24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三年内目标经营者法院诉讼败诉数量</w:t>
            </w: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负向指标</w:t>
            </w:r>
          </w:p>
        </w:tc>
        <w:tc>
          <w:tcPr>
            <w:tcW w:w="149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每增加一个扣10分，50分封顶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65" w:hRule="atLeast"/>
          <w:jc w:val="center"/>
        </w:trPr>
        <w:tc>
          <w:tcPr>
            <w:tcW w:w="1254" w:type="dxa"/>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社会评价信息</w:t>
            </w:r>
          </w:p>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200分</w:t>
            </w:r>
          </w:p>
        </w:tc>
        <w:tc>
          <w:tcPr>
            <w:tcW w:w="14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投诉举报80分</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一年内12345等平台有效投诉举报次数和处理结果</w:t>
            </w:r>
          </w:p>
        </w:tc>
        <w:tc>
          <w:tcPr>
            <w:tcW w:w="24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一年内目标经营者在12345、12315等平台被投诉举报的有效次数和处理结果，内容相同的不重复计算</w:t>
            </w: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负向指标</w:t>
            </w:r>
          </w:p>
        </w:tc>
        <w:tc>
          <w:tcPr>
            <w:tcW w:w="149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每增加一个有效投诉扣20分，每增加一次无正当理由不服从处理扣40分，80分封顶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60" w:hRule="atLeast"/>
          <w:jc w:val="center"/>
        </w:trPr>
        <w:tc>
          <w:tcPr>
            <w:tcW w:w="1254"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rPr>
                <w:rFonts w:hint="eastAsia" w:ascii="宋体"/>
                <w:sz w:val="24"/>
                <w:szCs w:val="24"/>
              </w:rPr>
            </w:pPr>
          </w:p>
        </w:tc>
        <w:tc>
          <w:tcPr>
            <w:tcW w:w="14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社会荣誉20分</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获得相关奖励</w:t>
            </w:r>
          </w:p>
        </w:tc>
        <w:tc>
          <w:tcPr>
            <w:tcW w:w="24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一年内获得所在行业、监管部门、社会等奖励数量</w:t>
            </w: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正向指标</w:t>
            </w:r>
          </w:p>
        </w:tc>
        <w:tc>
          <w:tcPr>
            <w:tcW w:w="149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县级5分，市级10分 省级15分，国家级20分，同一荣誉按最高级算，20分封顶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65" w:hRule="atLeast"/>
          <w:jc w:val="center"/>
        </w:trPr>
        <w:tc>
          <w:tcPr>
            <w:tcW w:w="1254"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rPr>
                <w:rFonts w:hint="eastAsia" w:ascii="宋体"/>
                <w:sz w:val="24"/>
                <w:szCs w:val="24"/>
              </w:rPr>
            </w:pPr>
          </w:p>
        </w:tc>
        <w:tc>
          <w:tcPr>
            <w:tcW w:w="14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舆情评价50分</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一年内负面舆情条数</w:t>
            </w:r>
          </w:p>
        </w:tc>
        <w:tc>
          <w:tcPr>
            <w:tcW w:w="24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一年内目标经营者在主流媒体上负面舆情的条数</w:t>
            </w: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负向指标</w:t>
            </w:r>
          </w:p>
        </w:tc>
        <w:tc>
          <w:tcPr>
            <w:tcW w:w="149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有一次扣10分，内容相同的不重复扣分，50分封顶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65" w:hRule="atLeast"/>
          <w:jc w:val="center"/>
        </w:trPr>
        <w:tc>
          <w:tcPr>
            <w:tcW w:w="1254"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rPr>
                <w:rFonts w:hint="eastAsia" w:ascii="宋体"/>
                <w:sz w:val="24"/>
                <w:szCs w:val="24"/>
              </w:rPr>
            </w:pPr>
          </w:p>
        </w:tc>
        <w:tc>
          <w:tcPr>
            <w:tcW w:w="14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rPr>
                <w:rFonts w:hint="eastAsia" w:ascii="宋体" w:hAnsi="宋体" w:eastAsia="宋体" w:cs="宋体"/>
                <w:b w:val="0"/>
                <w:bCs w:val="0"/>
                <w:i w:val="0"/>
                <w:iCs w:val="0"/>
                <w:color w:val="333333"/>
                <w:spacing w:val="0"/>
                <w:w w:val="100"/>
                <w:sz w:val="18"/>
                <w:szCs w:val="18"/>
                <w:vertAlign w:val="baseline"/>
              </w:rPr>
            </w:pPr>
            <w:r>
              <w:rPr>
                <w:rFonts w:hint="eastAsia" w:ascii="宋体" w:hAnsi="宋体" w:eastAsia="宋体" w:cs="宋体"/>
                <w:b w:val="0"/>
                <w:bCs w:val="0"/>
                <w:i w:val="0"/>
                <w:iCs w:val="0"/>
                <w:color w:val="333333"/>
                <w:spacing w:val="0"/>
                <w:w w:val="100"/>
                <w:sz w:val="18"/>
                <w:szCs w:val="18"/>
                <w:vertAlign w:val="baseline"/>
              </w:rPr>
              <w:t>社会关注度</w:t>
            </w:r>
          </w:p>
          <w:p>
            <w:pPr>
              <w:pStyle w:val="31"/>
              <w:keepNext w:val="0"/>
              <w:keepLines w:val="0"/>
              <w:widowControl/>
              <w:suppressLineNumbers w:val="0"/>
              <w:spacing w:before="0" w:beforeAutospacing="0" w:after="0" w:afterAutospacing="0" w:line="320" w:lineRule="exact"/>
              <w:ind w:left="0" w:right="0"/>
              <w:jc w:val="center"/>
              <w:rPr>
                <w:rFonts w:hint="default" w:eastAsia="宋体"/>
                <w:lang w:val="en-US" w:eastAsia="zh-CN"/>
              </w:rPr>
            </w:pPr>
            <w:r>
              <w:rPr>
                <w:rFonts w:hint="eastAsia" w:ascii="宋体" w:hAnsi="宋体" w:cs="宋体"/>
                <w:b w:val="0"/>
                <w:bCs w:val="0"/>
                <w:i w:val="0"/>
                <w:iCs w:val="0"/>
                <w:color w:val="333333"/>
                <w:spacing w:val="0"/>
                <w:w w:val="100"/>
                <w:sz w:val="18"/>
                <w:szCs w:val="18"/>
                <w:vertAlign w:val="baseline"/>
                <w:lang w:val="en-US" w:eastAsia="zh-CN"/>
              </w:rPr>
              <w:t>50分</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是否属于社会高度关注行业</w:t>
            </w:r>
          </w:p>
        </w:tc>
        <w:tc>
          <w:tcPr>
            <w:tcW w:w="24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统计时点下，目标经营者是否属于社会高度关注行业</w:t>
            </w: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负向指标</w:t>
            </w:r>
          </w:p>
        </w:tc>
        <w:tc>
          <w:tcPr>
            <w:tcW w:w="149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定性指标，根据情况，直接定为C或D类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0" w:hRule="atLeast"/>
          <w:jc w:val="center"/>
        </w:trPr>
        <w:tc>
          <w:tcPr>
            <w:tcW w:w="1254" w:type="dxa"/>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网络交易领域信息150分</w:t>
            </w:r>
          </w:p>
        </w:tc>
        <w:tc>
          <w:tcPr>
            <w:tcW w:w="14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rPr>
                <w:rFonts w:hint="eastAsia" w:ascii="宋体" w:hAnsi="宋体" w:eastAsia="宋体" w:cs="宋体"/>
                <w:b w:val="0"/>
                <w:bCs w:val="0"/>
                <w:i w:val="0"/>
                <w:iCs w:val="0"/>
                <w:color w:val="333333"/>
                <w:spacing w:val="0"/>
                <w:w w:val="100"/>
                <w:sz w:val="18"/>
                <w:szCs w:val="18"/>
                <w:vertAlign w:val="baseline"/>
              </w:rPr>
            </w:pPr>
            <w:r>
              <w:rPr>
                <w:rFonts w:hint="eastAsia" w:ascii="宋体" w:hAnsi="宋体" w:eastAsia="宋体" w:cs="宋体"/>
                <w:b w:val="0"/>
                <w:bCs w:val="0"/>
                <w:i w:val="0"/>
                <w:iCs w:val="0"/>
                <w:color w:val="333333"/>
                <w:spacing w:val="0"/>
                <w:w w:val="100"/>
                <w:sz w:val="18"/>
                <w:szCs w:val="18"/>
                <w:vertAlign w:val="baseline"/>
              </w:rPr>
              <w:t>大数据监测</w:t>
            </w:r>
          </w:p>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50分</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近一年宿迁市网络交易监测的违法预警线索数量和处理结果</w:t>
            </w:r>
          </w:p>
        </w:tc>
        <w:tc>
          <w:tcPr>
            <w:tcW w:w="24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近一年目标主体在宿迁市网络交易监测中发现的违法预警线索数量和处理结果</w:t>
            </w: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负向指标</w:t>
            </w:r>
          </w:p>
        </w:tc>
        <w:tc>
          <w:tcPr>
            <w:tcW w:w="149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有一件违法预警线索扣10分，有一件未按要求处理扣50分，50分封顶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335" w:hRule="atLeast"/>
          <w:jc w:val="center"/>
        </w:trPr>
        <w:tc>
          <w:tcPr>
            <w:tcW w:w="1254"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rPr>
                <w:rFonts w:hint="eastAsia" w:ascii="宋体"/>
                <w:sz w:val="24"/>
                <w:szCs w:val="24"/>
              </w:rPr>
            </w:pPr>
          </w:p>
        </w:tc>
        <w:tc>
          <w:tcPr>
            <w:tcW w:w="14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rPr>
                <w:rFonts w:hint="eastAsia" w:ascii="宋体" w:hAnsi="宋体" w:eastAsia="宋体" w:cs="宋体"/>
                <w:b w:val="0"/>
                <w:bCs w:val="0"/>
                <w:i w:val="0"/>
                <w:iCs w:val="0"/>
                <w:color w:val="333333"/>
                <w:spacing w:val="0"/>
                <w:w w:val="100"/>
                <w:sz w:val="18"/>
                <w:szCs w:val="18"/>
                <w:vertAlign w:val="baseline"/>
              </w:rPr>
            </w:pPr>
            <w:r>
              <w:rPr>
                <w:rFonts w:hint="eastAsia" w:ascii="宋体" w:hAnsi="宋体" w:eastAsia="宋体" w:cs="宋体"/>
                <w:b w:val="0"/>
                <w:bCs w:val="0"/>
                <w:i w:val="0"/>
                <w:iCs w:val="0"/>
                <w:color w:val="333333"/>
                <w:spacing w:val="0"/>
                <w:w w:val="100"/>
                <w:sz w:val="18"/>
                <w:szCs w:val="18"/>
                <w:vertAlign w:val="baseline"/>
              </w:rPr>
              <w:t>其他类评价</w:t>
            </w:r>
          </w:p>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100分</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第三方信用评价</w:t>
            </w:r>
          </w:p>
        </w:tc>
        <w:tc>
          <w:tcPr>
            <w:tcW w:w="24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有资质机构对网络交易平台、自建网站经营者等的信用评价；网络交易平台对平台内经营者的信用评定。</w:t>
            </w: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center"/>
            </w:pPr>
            <w:r>
              <w:rPr>
                <w:rFonts w:hint="eastAsia" w:ascii="宋体" w:hAnsi="宋体" w:eastAsia="宋体" w:cs="宋体"/>
                <w:b w:val="0"/>
                <w:bCs w:val="0"/>
                <w:i w:val="0"/>
                <w:iCs w:val="0"/>
                <w:color w:val="333333"/>
                <w:spacing w:val="0"/>
                <w:w w:val="100"/>
                <w:sz w:val="18"/>
                <w:szCs w:val="18"/>
                <w:vertAlign w:val="baseline"/>
              </w:rPr>
              <w:t>正向指标</w:t>
            </w:r>
          </w:p>
        </w:tc>
        <w:tc>
          <w:tcPr>
            <w:tcW w:w="149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1"/>
              <w:keepNext w:val="0"/>
              <w:keepLines w:val="0"/>
              <w:widowControl/>
              <w:suppressLineNumbers w:val="0"/>
              <w:spacing w:before="0" w:beforeAutospacing="0" w:after="0" w:afterAutospacing="0" w:line="320" w:lineRule="exact"/>
              <w:ind w:left="0" w:right="0"/>
              <w:jc w:val="both"/>
            </w:pPr>
            <w:r>
              <w:rPr>
                <w:rFonts w:hint="eastAsia" w:ascii="宋体" w:hAnsi="宋体" w:eastAsia="宋体" w:cs="宋体"/>
                <w:b w:val="0"/>
                <w:bCs w:val="0"/>
                <w:i w:val="0"/>
                <w:iCs w:val="0"/>
                <w:color w:val="333333"/>
                <w:spacing w:val="0"/>
                <w:w w:val="100"/>
                <w:sz w:val="18"/>
                <w:szCs w:val="18"/>
                <w:vertAlign w:val="baseline"/>
              </w:rPr>
              <w:t>（被评分/总分）×</w:t>
            </w:r>
            <w:r>
              <w:rPr>
                <w:b w:val="0"/>
                <w:bCs w:val="0"/>
                <w:i w:val="0"/>
                <w:iCs w:val="0"/>
                <w:color w:val="333333"/>
                <w:spacing w:val="0"/>
                <w:w w:val="100"/>
                <w:sz w:val="18"/>
                <w:szCs w:val="18"/>
                <w:vertAlign w:val="baseline"/>
              </w:rPr>
              <w:t>100分</w:t>
            </w:r>
          </w:p>
        </w:tc>
      </w:tr>
    </w:tbl>
    <w:p>
      <w:pPr>
        <w:pStyle w:val="31"/>
        <w:keepNext w:val="0"/>
        <w:keepLines w:val="0"/>
        <w:widowControl/>
        <w:suppressLineNumbers w:val="0"/>
        <w:spacing w:before="0" w:beforeAutospacing="0" w:after="0" w:afterAutospacing="0" w:line="240" w:lineRule="auto"/>
        <w:ind w:left="0" w:right="0" w:firstLine="420"/>
        <w:jc w:val="center"/>
        <w:rPr>
          <w:rFonts w:hint="eastAsia" w:ascii="黑体" w:hAnsi="宋体" w:eastAsia="黑体" w:cs="黑体"/>
          <w:b w:val="0"/>
          <w:bCs w:val="0"/>
          <w:i w:val="0"/>
          <w:iCs w:val="0"/>
          <w:color w:val="333333"/>
          <w:spacing w:val="0"/>
          <w:w w:val="100"/>
          <w:sz w:val="21"/>
          <w:szCs w:val="21"/>
          <w:vertAlign w:val="baseline"/>
        </w:rPr>
      </w:pPr>
    </w:p>
    <w:p>
      <w:pPr>
        <w:pStyle w:val="31"/>
        <w:keepNext w:val="0"/>
        <w:keepLines w:val="0"/>
        <w:widowControl/>
        <w:suppressLineNumbers w:val="0"/>
        <w:spacing w:before="0" w:beforeAutospacing="0" w:after="0" w:afterAutospacing="0" w:line="240" w:lineRule="auto"/>
        <w:ind w:left="0" w:right="0" w:firstLine="420"/>
        <w:jc w:val="center"/>
        <w:rPr>
          <w:rFonts w:hint="eastAsia" w:ascii="黑体" w:hAnsi="宋体" w:eastAsia="黑体" w:cs="黑体"/>
          <w:b w:val="0"/>
          <w:bCs w:val="0"/>
          <w:i w:val="0"/>
          <w:iCs w:val="0"/>
          <w:color w:val="333333"/>
          <w:spacing w:val="0"/>
          <w:w w:val="100"/>
          <w:sz w:val="21"/>
          <w:szCs w:val="21"/>
          <w:vertAlign w:val="baseline"/>
        </w:rPr>
      </w:pPr>
    </w:p>
    <w:p>
      <w:pPr>
        <w:pStyle w:val="31"/>
        <w:keepNext w:val="0"/>
        <w:keepLines w:val="0"/>
        <w:widowControl/>
        <w:suppressLineNumbers w:val="0"/>
        <w:spacing w:before="0" w:beforeAutospacing="0" w:after="0" w:afterAutospacing="0" w:line="240" w:lineRule="auto"/>
        <w:ind w:left="0" w:right="0" w:firstLine="420"/>
        <w:jc w:val="center"/>
        <w:rPr>
          <w:rFonts w:hint="eastAsia" w:ascii="黑体" w:hAnsi="宋体" w:eastAsia="黑体" w:cs="黑体"/>
          <w:b w:val="0"/>
          <w:bCs w:val="0"/>
          <w:i w:val="0"/>
          <w:iCs w:val="0"/>
          <w:color w:val="333333"/>
          <w:spacing w:val="0"/>
          <w:w w:val="100"/>
          <w:sz w:val="21"/>
          <w:szCs w:val="21"/>
          <w:vertAlign w:val="baseline"/>
        </w:rPr>
      </w:pPr>
    </w:p>
    <w:p>
      <w:pPr>
        <w:pStyle w:val="31"/>
        <w:keepNext w:val="0"/>
        <w:keepLines w:val="0"/>
        <w:widowControl/>
        <w:suppressLineNumbers w:val="0"/>
        <w:spacing w:before="0" w:beforeAutospacing="0" w:after="0" w:afterAutospacing="0" w:line="240" w:lineRule="auto"/>
        <w:ind w:left="0" w:right="0" w:firstLine="420"/>
        <w:jc w:val="center"/>
        <w:rPr>
          <w:rFonts w:hint="eastAsia" w:ascii="黑体" w:hAnsi="宋体" w:eastAsia="黑体" w:cs="黑体"/>
          <w:b w:val="0"/>
          <w:bCs w:val="0"/>
          <w:i w:val="0"/>
          <w:iCs w:val="0"/>
          <w:color w:val="333333"/>
          <w:spacing w:val="0"/>
          <w:w w:val="100"/>
          <w:sz w:val="21"/>
          <w:szCs w:val="21"/>
          <w:vertAlign w:val="baseline"/>
        </w:rPr>
      </w:pPr>
    </w:p>
    <w:p>
      <w:pPr>
        <w:pStyle w:val="31"/>
        <w:keepNext w:val="0"/>
        <w:keepLines w:val="0"/>
        <w:widowControl/>
        <w:suppressLineNumbers w:val="0"/>
        <w:spacing w:before="0" w:beforeAutospacing="0" w:after="0" w:afterAutospacing="0" w:line="240" w:lineRule="auto"/>
        <w:ind w:left="0" w:right="0" w:firstLine="420"/>
        <w:jc w:val="center"/>
        <w:rPr>
          <w:rFonts w:hint="eastAsia" w:ascii="黑体" w:hAnsi="宋体" w:eastAsia="黑体" w:cs="黑体"/>
          <w:b w:val="0"/>
          <w:bCs w:val="0"/>
          <w:i w:val="0"/>
          <w:iCs w:val="0"/>
          <w:color w:val="333333"/>
          <w:spacing w:val="0"/>
          <w:w w:val="100"/>
          <w:sz w:val="21"/>
          <w:szCs w:val="21"/>
          <w:vertAlign w:val="baseline"/>
        </w:rPr>
      </w:pPr>
    </w:p>
    <w:p>
      <w:pPr>
        <w:pStyle w:val="31"/>
        <w:keepNext w:val="0"/>
        <w:keepLines w:val="0"/>
        <w:widowControl/>
        <w:suppressLineNumbers w:val="0"/>
        <w:spacing w:before="0" w:beforeAutospacing="0" w:after="0" w:afterAutospacing="0" w:line="240" w:lineRule="auto"/>
        <w:ind w:left="0" w:right="0" w:firstLine="420"/>
        <w:jc w:val="center"/>
        <w:rPr>
          <w:rFonts w:hint="eastAsia" w:ascii="黑体" w:hAnsi="宋体" w:eastAsia="黑体" w:cs="黑体"/>
          <w:b w:val="0"/>
          <w:bCs w:val="0"/>
          <w:i w:val="0"/>
          <w:iCs w:val="0"/>
          <w:color w:val="333333"/>
          <w:spacing w:val="0"/>
          <w:w w:val="100"/>
          <w:sz w:val="21"/>
          <w:szCs w:val="21"/>
          <w:vertAlign w:val="baseline"/>
        </w:rPr>
      </w:pPr>
    </w:p>
    <w:p>
      <w:pPr>
        <w:pStyle w:val="31"/>
        <w:keepNext w:val="0"/>
        <w:keepLines w:val="0"/>
        <w:widowControl/>
        <w:suppressLineNumbers w:val="0"/>
        <w:spacing w:before="0" w:beforeAutospacing="0" w:after="0" w:afterAutospacing="0" w:line="240" w:lineRule="auto"/>
        <w:ind w:left="0" w:right="0" w:firstLine="420"/>
        <w:jc w:val="center"/>
        <w:rPr>
          <w:rFonts w:hint="eastAsia" w:ascii="黑体" w:hAnsi="宋体" w:eastAsia="黑体" w:cs="黑体"/>
          <w:b w:val="0"/>
          <w:bCs w:val="0"/>
          <w:i w:val="0"/>
          <w:iCs w:val="0"/>
          <w:color w:val="333333"/>
          <w:spacing w:val="0"/>
          <w:w w:val="100"/>
          <w:sz w:val="21"/>
          <w:szCs w:val="21"/>
          <w:vertAlign w:val="baseline"/>
        </w:rPr>
      </w:pPr>
    </w:p>
    <w:p>
      <w:pPr>
        <w:pStyle w:val="31"/>
        <w:keepNext w:val="0"/>
        <w:keepLines w:val="0"/>
        <w:widowControl/>
        <w:suppressLineNumbers w:val="0"/>
        <w:spacing w:before="0" w:beforeAutospacing="0" w:after="0" w:afterAutospacing="0" w:line="240" w:lineRule="auto"/>
        <w:ind w:left="0" w:right="0" w:firstLine="420"/>
        <w:jc w:val="center"/>
        <w:rPr>
          <w:rFonts w:hint="eastAsia" w:ascii="黑体" w:hAnsi="宋体" w:eastAsia="黑体" w:cs="黑体"/>
          <w:b w:val="0"/>
          <w:bCs w:val="0"/>
          <w:i w:val="0"/>
          <w:iCs w:val="0"/>
          <w:color w:val="333333"/>
          <w:spacing w:val="0"/>
          <w:w w:val="100"/>
          <w:sz w:val="21"/>
          <w:szCs w:val="21"/>
          <w:vertAlign w:val="baseline"/>
        </w:rPr>
      </w:pPr>
    </w:p>
    <w:p>
      <w:pPr>
        <w:pStyle w:val="31"/>
        <w:keepNext w:val="0"/>
        <w:keepLines w:val="0"/>
        <w:widowControl/>
        <w:suppressLineNumbers w:val="0"/>
        <w:spacing w:before="0" w:beforeAutospacing="0" w:after="0" w:afterAutospacing="0" w:line="240" w:lineRule="auto"/>
        <w:ind w:left="0" w:right="0" w:firstLine="420"/>
        <w:jc w:val="center"/>
        <w:rPr>
          <w:rFonts w:hint="eastAsia" w:ascii="黑体" w:hAnsi="宋体" w:eastAsia="黑体" w:cs="黑体"/>
          <w:b w:val="0"/>
          <w:bCs w:val="0"/>
          <w:i w:val="0"/>
          <w:iCs w:val="0"/>
          <w:color w:val="333333"/>
          <w:spacing w:val="0"/>
          <w:w w:val="100"/>
          <w:sz w:val="21"/>
          <w:szCs w:val="21"/>
          <w:vertAlign w:val="baseline"/>
        </w:rPr>
      </w:pPr>
    </w:p>
    <w:p>
      <w:pPr>
        <w:pStyle w:val="31"/>
        <w:keepNext w:val="0"/>
        <w:keepLines w:val="0"/>
        <w:widowControl/>
        <w:suppressLineNumbers w:val="0"/>
        <w:spacing w:before="0" w:beforeAutospacing="0" w:after="0" w:afterAutospacing="0" w:line="240" w:lineRule="auto"/>
        <w:ind w:left="0" w:right="0" w:firstLine="420"/>
        <w:jc w:val="center"/>
        <w:rPr>
          <w:rFonts w:hint="eastAsia" w:ascii="黑体" w:hAnsi="宋体" w:eastAsia="黑体" w:cs="黑体"/>
          <w:b w:val="0"/>
          <w:bCs w:val="0"/>
          <w:i w:val="0"/>
          <w:iCs w:val="0"/>
          <w:color w:val="333333"/>
          <w:spacing w:val="0"/>
          <w:w w:val="100"/>
          <w:sz w:val="21"/>
          <w:szCs w:val="21"/>
          <w:vertAlign w:val="baseline"/>
        </w:rPr>
      </w:pPr>
    </w:p>
    <w:p>
      <w:pPr>
        <w:pStyle w:val="31"/>
        <w:keepNext w:val="0"/>
        <w:keepLines w:val="0"/>
        <w:widowControl/>
        <w:suppressLineNumbers w:val="0"/>
        <w:spacing w:before="0" w:beforeAutospacing="0" w:after="0" w:afterAutospacing="0" w:line="240" w:lineRule="auto"/>
        <w:ind w:left="0" w:right="0" w:firstLine="420"/>
        <w:jc w:val="center"/>
        <w:rPr>
          <w:rFonts w:hint="eastAsia" w:ascii="黑体" w:hAnsi="宋体" w:eastAsia="黑体" w:cs="黑体"/>
          <w:b w:val="0"/>
          <w:bCs w:val="0"/>
          <w:i w:val="0"/>
          <w:iCs w:val="0"/>
          <w:color w:val="333333"/>
          <w:spacing w:val="0"/>
          <w:w w:val="100"/>
          <w:sz w:val="21"/>
          <w:szCs w:val="21"/>
          <w:vertAlign w:val="baseline"/>
        </w:rPr>
      </w:pPr>
    </w:p>
    <w:p>
      <w:pPr>
        <w:pStyle w:val="31"/>
        <w:keepNext w:val="0"/>
        <w:keepLines w:val="0"/>
        <w:widowControl/>
        <w:suppressLineNumbers w:val="0"/>
        <w:spacing w:before="0" w:beforeAutospacing="0" w:after="0" w:afterAutospacing="0" w:line="240" w:lineRule="auto"/>
        <w:ind w:left="0" w:right="0" w:firstLine="420"/>
        <w:jc w:val="center"/>
        <w:rPr>
          <w:rFonts w:hint="eastAsia" w:ascii="黑体" w:hAnsi="宋体" w:eastAsia="黑体" w:cs="黑体"/>
          <w:b w:val="0"/>
          <w:bCs w:val="0"/>
          <w:i w:val="0"/>
          <w:iCs w:val="0"/>
          <w:color w:val="333333"/>
          <w:spacing w:val="0"/>
          <w:w w:val="100"/>
          <w:sz w:val="21"/>
          <w:szCs w:val="21"/>
          <w:vertAlign w:val="baseline"/>
        </w:rPr>
      </w:pPr>
    </w:p>
    <w:p>
      <w:pPr>
        <w:pStyle w:val="31"/>
        <w:keepNext w:val="0"/>
        <w:keepLines w:val="0"/>
        <w:widowControl/>
        <w:suppressLineNumbers w:val="0"/>
        <w:spacing w:before="0" w:beforeAutospacing="0" w:after="0" w:afterAutospacing="0" w:line="240" w:lineRule="auto"/>
        <w:ind w:left="0" w:right="0" w:firstLine="420"/>
        <w:jc w:val="center"/>
        <w:rPr>
          <w:rFonts w:hint="eastAsia" w:ascii="黑体" w:hAnsi="宋体" w:eastAsia="黑体" w:cs="黑体"/>
          <w:b w:val="0"/>
          <w:bCs w:val="0"/>
          <w:i w:val="0"/>
          <w:iCs w:val="0"/>
          <w:color w:val="333333"/>
          <w:spacing w:val="0"/>
          <w:w w:val="100"/>
          <w:sz w:val="21"/>
          <w:szCs w:val="21"/>
          <w:vertAlign w:val="baseline"/>
        </w:rPr>
      </w:pPr>
    </w:p>
    <w:p>
      <w:pPr>
        <w:pStyle w:val="31"/>
        <w:keepNext w:val="0"/>
        <w:keepLines w:val="0"/>
        <w:widowControl/>
        <w:suppressLineNumbers w:val="0"/>
        <w:spacing w:before="0" w:beforeAutospacing="0" w:after="0" w:afterAutospacing="0" w:line="240" w:lineRule="auto"/>
        <w:ind w:left="0" w:right="0" w:firstLine="420"/>
        <w:jc w:val="center"/>
        <w:rPr>
          <w:rFonts w:hint="eastAsia" w:ascii="黑体" w:hAnsi="宋体" w:eastAsia="黑体" w:cs="黑体"/>
          <w:b w:val="0"/>
          <w:bCs w:val="0"/>
          <w:i w:val="0"/>
          <w:iCs w:val="0"/>
          <w:color w:val="333333"/>
          <w:spacing w:val="0"/>
          <w:w w:val="100"/>
          <w:sz w:val="21"/>
          <w:szCs w:val="21"/>
          <w:vertAlign w:val="baseline"/>
        </w:rPr>
      </w:pPr>
    </w:p>
    <w:p>
      <w:pPr>
        <w:pStyle w:val="31"/>
        <w:keepNext w:val="0"/>
        <w:keepLines w:val="0"/>
        <w:widowControl/>
        <w:suppressLineNumbers w:val="0"/>
        <w:spacing w:before="0" w:beforeAutospacing="0" w:after="0" w:afterAutospacing="0" w:line="240" w:lineRule="auto"/>
        <w:ind w:left="0" w:right="0" w:firstLine="420"/>
        <w:jc w:val="center"/>
        <w:rPr>
          <w:rFonts w:hint="eastAsia" w:ascii="黑体" w:hAnsi="宋体" w:eastAsia="黑体" w:cs="黑体"/>
          <w:b w:val="0"/>
          <w:bCs w:val="0"/>
          <w:i w:val="0"/>
          <w:iCs w:val="0"/>
          <w:color w:val="333333"/>
          <w:spacing w:val="0"/>
          <w:w w:val="100"/>
          <w:sz w:val="21"/>
          <w:szCs w:val="21"/>
          <w:vertAlign w:val="baseline"/>
        </w:rPr>
      </w:pPr>
    </w:p>
    <w:p>
      <w:pPr>
        <w:pStyle w:val="31"/>
        <w:keepNext w:val="0"/>
        <w:keepLines w:val="0"/>
        <w:widowControl/>
        <w:suppressLineNumbers w:val="0"/>
        <w:spacing w:before="0" w:beforeAutospacing="0" w:after="0" w:afterAutospacing="0" w:line="240" w:lineRule="auto"/>
        <w:ind w:left="0" w:right="0" w:firstLine="420"/>
        <w:jc w:val="center"/>
        <w:rPr>
          <w:rFonts w:hint="eastAsia" w:ascii="黑体" w:hAnsi="宋体" w:eastAsia="黑体" w:cs="黑体"/>
          <w:b w:val="0"/>
          <w:bCs w:val="0"/>
          <w:i w:val="0"/>
          <w:iCs w:val="0"/>
          <w:color w:val="333333"/>
          <w:spacing w:val="0"/>
          <w:w w:val="100"/>
          <w:sz w:val="21"/>
          <w:szCs w:val="21"/>
          <w:vertAlign w:val="baseline"/>
        </w:rPr>
      </w:pPr>
    </w:p>
    <w:p>
      <w:pPr>
        <w:pStyle w:val="31"/>
        <w:keepNext w:val="0"/>
        <w:keepLines w:val="0"/>
        <w:widowControl/>
        <w:suppressLineNumbers w:val="0"/>
        <w:spacing w:before="0" w:beforeAutospacing="0" w:after="0" w:afterAutospacing="0" w:line="240" w:lineRule="auto"/>
        <w:ind w:left="0" w:right="0" w:firstLine="420"/>
        <w:jc w:val="center"/>
        <w:rPr>
          <w:rFonts w:hint="eastAsia" w:ascii="黑体" w:hAnsi="宋体" w:eastAsia="黑体" w:cs="黑体"/>
          <w:b w:val="0"/>
          <w:bCs w:val="0"/>
          <w:i w:val="0"/>
          <w:iCs w:val="0"/>
          <w:color w:val="333333"/>
          <w:spacing w:val="0"/>
          <w:w w:val="100"/>
          <w:sz w:val="21"/>
          <w:szCs w:val="21"/>
          <w:vertAlign w:val="baseline"/>
        </w:rPr>
      </w:pPr>
    </w:p>
    <w:p>
      <w:pPr>
        <w:pStyle w:val="31"/>
        <w:keepNext w:val="0"/>
        <w:keepLines w:val="0"/>
        <w:widowControl/>
        <w:suppressLineNumbers w:val="0"/>
        <w:spacing w:before="0" w:beforeAutospacing="0" w:after="0" w:afterAutospacing="0" w:line="240" w:lineRule="auto"/>
        <w:ind w:left="0" w:right="0" w:firstLine="420"/>
        <w:jc w:val="center"/>
        <w:rPr>
          <w:rFonts w:hint="eastAsia" w:ascii="黑体" w:hAnsi="宋体" w:eastAsia="黑体" w:cs="黑体"/>
          <w:b w:val="0"/>
          <w:bCs w:val="0"/>
          <w:i w:val="0"/>
          <w:iCs w:val="0"/>
          <w:color w:val="333333"/>
          <w:spacing w:val="0"/>
          <w:w w:val="100"/>
          <w:sz w:val="21"/>
          <w:szCs w:val="21"/>
          <w:vertAlign w:val="baseline"/>
        </w:rPr>
      </w:pPr>
    </w:p>
    <w:p>
      <w:pPr>
        <w:pStyle w:val="31"/>
        <w:keepNext w:val="0"/>
        <w:keepLines w:val="0"/>
        <w:widowControl/>
        <w:suppressLineNumbers w:val="0"/>
        <w:spacing w:before="0" w:beforeAutospacing="0" w:after="0" w:afterAutospacing="0" w:line="240" w:lineRule="auto"/>
        <w:ind w:left="0" w:right="0" w:firstLine="420"/>
        <w:jc w:val="center"/>
        <w:rPr>
          <w:rFonts w:hint="eastAsia" w:ascii="黑体" w:hAnsi="宋体" w:eastAsia="黑体" w:cs="黑体"/>
          <w:b w:val="0"/>
          <w:bCs w:val="0"/>
          <w:i w:val="0"/>
          <w:iCs w:val="0"/>
          <w:color w:val="333333"/>
          <w:spacing w:val="0"/>
          <w:w w:val="100"/>
          <w:sz w:val="21"/>
          <w:szCs w:val="21"/>
          <w:vertAlign w:val="baseline"/>
        </w:rPr>
      </w:pPr>
    </w:p>
    <w:p>
      <w:pPr>
        <w:pStyle w:val="31"/>
        <w:keepNext w:val="0"/>
        <w:keepLines w:val="0"/>
        <w:widowControl/>
        <w:suppressLineNumbers w:val="0"/>
        <w:spacing w:before="0" w:beforeAutospacing="0" w:after="0" w:afterAutospacing="0" w:line="240" w:lineRule="auto"/>
        <w:ind w:left="0" w:right="0" w:firstLine="420"/>
        <w:jc w:val="center"/>
        <w:rPr>
          <w:rFonts w:hint="eastAsia" w:ascii="黑体" w:hAnsi="宋体" w:eastAsia="黑体" w:cs="黑体"/>
          <w:b w:val="0"/>
          <w:bCs w:val="0"/>
          <w:i w:val="0"/>
          <w:iCs w:val="0"/>
          <w:color w:val="333333"/>
          <w:spacing w:val="0"/>
          <w:w w:val="100"/>
          <w:sz w:val="21"/>
          <w:szCs w:val="21"/>
          <w:vertAlign w:val="baseline"/>
        </w:rPr>
      </w:pPr>
    </w:p>
    <w:p>
      <w:pPr>
        <w:pStyle w:val="31"/>
        <w:keepNext w:val="0"/>
        <w:keepLines w:val="0"/>
        <w:widowControl/>
        <w:suppressLineNumbers w:val="0"/>
        <w:spacing w:before="0" w:beforeAutospacing="0" w:after="0" w:afterAutospacing="0" w:line="240" w:lineRule="auto"/>
        <w:ind w:left="0" w:right="0" w:firstLine="420"/>
        <w:jc w:val="center"/>
        <w:rPr>
          <w:rFonts w:hint="eastAsia" w:ascii="黑体" w:hAnsi="宋体" w:eastAsia="黑体" w:cs="黑体"/>
          <w:b w:val="0"/>
          <w:bCs w:val="0"/>
          <w:i w:val="0"/>
          <w:iCs w:val="0"/>
          <w:color w:val="333333"/>
          <w:spacing w:val="0"/>
          <w:w w:val="100"/>
          <w:sz w:val="21"/>
          <w:szCs w:val="21"/>
          <w:vertAlign w:val="baseline"/>
        </w:rPr>
      </w:pPr>
    </w:p>
    <w:p>
      <w:pPr>
        <w:pStyle w:val="31"/>
        <w:keepNext w:val="0"/>
        <w:keepLines w:val="0"/>
        <w:widowControl/>
        <w:suppressLineNumbers w:val="0"/>
        <w:spacing w:before="0" w:beforeAutospacing="0" w:after="0" w:afterAutospacing="0" w:line="240" w:lineRule="auto"/>
        <w:ind w:left="0" w:right="0" w:firstLine="420"/>
        <w:jc w:val="center"/>
        <w:rPr>
          <w:rFonts w:hint="eastAsia" w:ascii="黑体" w:hAnsi="宋体" w:eastAsia="黑体" w:cs="黑体"/>
          <w:b w:val="0"/>
          <w:bCs w:val="0"/>
          <w:i w:val="0"/>
          <w:iCs w:val="0"/>
          <w:color w:val="333333"/>
          <w:spacing w:val="0"/>
          <w:w w:val="100"/>
          <w:sz w:val="21"/>
          <w:szCs w:val="21"/>
          <w:vertAlign w:val="baseline"/>
        </w:rPr>
      </w:pPr>
    </w:p>
    <w:p>
      <w:pPr>
        <w:pStyle w:val="31"/>
        <w:keepNext w:val="0"/>
        <w:keepLines w:val="0"/>
        <w:widowControl/>
        <w:suppressLineNumbers w:val="0"/>
        <w:spacing w:before="0" w:beforeAutospacing="0" w:after="0" w:afterAutospacing="0" w:line="240" w:lineRule="auto"/>
        <w:ind w:left="0" w:right="0" w:firstLine="420"/>
        <w:jc w:val="center"/>
        <w:rPr>
          <w:rFonts w:hint="eastAsia" w:ascii="黑体" w:hAnsi="宋体" w:eastAsia="黑体" w:cs="黑体"/>
          <w:b w:val="0"/>
          <w:bCs w:val="0"/>
          <w:i w:val="0"/>
          <w:iCs w:val="0"/>
          <w:color w:val="333333"/>
          <w:spacing w:val="0"/>
          <w:w w:val="100"/>
          <w:sz w:val="21"/>
          <w:szCs w:val="21"/>
          <w:vertAlign w:val="baseline"/>
        </w:rPr>
      </w:pPr>
    </w:p>
    <w:p>
      <w:pPr>
        <w:pStyle w:val="31"/>
        <w:keepNext w:val="0"/>
        <w:keepLines w:val="0"/>
        <w:widowControl/>
        <w:suppressLineNumbers w:val="0"/>
        <w:spacing w:before="0" w:beforeAutospacing="0" w:after="0" w:afterAutospacing="0" w:line="240" w:lineRule="auto"/>
        <w:ind w:left="0" w:right="0" w:firstLine="420"/>
        <w:jc w:val="center"/>
        <w:rPr>
          <w:rFonts w:hint="eastAsia" w:ascii="黑体" w:hAnsi="宋体" w:eastAsia="黑体" w:cs="黑体"/>
          <w:b w:val="0"/>
          <w:bCs w:val="0"/>
          <w:i w:val="0"/>
          <w:iCs w:val="0"/>
          <w:color w:val="333333"/>
          <w:spacing w:val="0"/>
          <w:w w:val="100"/>
          <w:sz w:val="21"/>
          <w:szCs w:val="21"/>
          <w:vertAlign w:val="baseline"/>
        </w:rPr>
      </w:pPr>
    </w:p>
    <w:p>
      <w:pPr>
        <w:pStyle w:val="31"/>
        <w:keepNext w:val="0"/>
        <w:keepLines w:val="0"/>
        <w:widowControl/>
        <w:suppressLineNumbers w:val="0"/>
        <w:spacing w:before="0" w:beforeAutospacing="0" w:after="0" w:afterAutospacing="0" w:line="240" w:lineRule="auto"/>
        <w:ind w:left="0" w:right="0" w:firstLine="420"/>
        <w:jc w:val="center"/>
        <w:rPr>
          <w:rFonts w:hint="eastAsia" w:ascii="黑体" w:hAnsi="宋体" w:eastAsia="黑体" w:cs="黑体"/>
          <w:b w:val="0"/>
          <w:bCs w:val="0"/>
          <w:i w:val="0"/>
          <w:iCs w:val="0"/>
          <w:color w:val="333333"/>
          <w:spacing w:val="0"/>
          <w:w w:val="100"/>
          <w:sz w:val="21"/>
          <w:szCs w:val="21"/>
          <w:vertAlign w:val="baseline"/>
        </w:rPr>
      </w:pPr>
    </w:p>
    <w:p>
      <w:pPr>
        <w:pStyle w:val="31"/>
        <w:keepNext w:val="0"/>
        <w:keepLines w:val="0"/>
        <w:widowControl/>
        <w:suppressLineNumbers w:val="0"/>
        <w:spacing w:before="0" w:beforeAutospacing="0" w:after="0" w:afterAutospacing="0" w:line="240" w:lineRule="auto"/>
        <w:ind w:left="0" w:right="0" w:firstLine="420"/>
        <w:jc w:val="center"/>
        <w:rPr>
          <w:rFonts w:hint="eastAsia" w:ascii="黑体" w:hAnsi="宋体" w:eastAsia="黑体" w:cs="黑体"/>
          <w:b w:val="0"/>
          <w:bCs w:val="0"/>
          <w:i w:val="0"/>
          <w:iCs w:val="0"/>
          <w:color w:val="333333"/>
          <w:spacing w:val="0"/>
          <w:w w:val="100"/>
          <w:sz w:val="21"/>
          <w:szCs w:val="21"/>
          <w:vertAlign w:val="baseline"/>
        </w:rPr>
      </w:pPr>
    </w:p>
    <w:p>
      <w:pPr>
        <w:pStyle w:val="31"/>
        <w:keepNext w:val="0"/>
        <w:keepLines w:val="0"/>
        <w:widowControl/>
        <w:suppressLineNumbers w:val="0"/>
        <w:spacing w:before="0" w:beforeAutospacing="0" w:after="0" w:afterAutospacing="0" w:line="240" w:lineRule="auto"/>
        <w:ind w:left="0" w:right="0" w:firstLine="420"/>
        <w:jc w:val="center"/>
        <w:rPr>
          <w:rFonts w:hint="eastAsia" w:ascii="黑体" w:hAnsi="宋体" w:eastAsia="黑体" w:cs="黑体"/>
          <w:b w:val="0"/>
          <w:bCs w:val="0"/>
          <w:i w:val="0"/>
          <w:iCs w:val="0"/>
          <w:color w:val="333333"/>
          <w:spacing w:val="0"/>
          <w:w w:val="100"/>
          <w:sz w:val="21"/>
          <w:szCs w:val="21"/>
          <w:vertAlign w:val="baseline"/>
        </w:rPr>
      </w:pPr>
    </w:p>
    <w:p>
      <w:pPr>
        <w:pStyle w:val="31"/>
        <w:keepNext w:val="0"/>
        <w:keepLines w:val="0"/>
        <w:widowControl/>
        <w:suppressLineNumbers w:val="0"/>
        <w:spacing w:before="0" w:beforeAutospacing="0" w:after="0" w:afterAutospacing="0" w:line="240" w:lineRule="auto"/>
        <w:ind w:left="0" w:right="0" w:firstLine="420"/>
        <w:jc w:val="center"/>
        <w:rPr>
          <w:rFonts w:hint="eastAsia" w:ascii="黑体" w:hAnsi="宋体" w:eastAsia="黑体" w:cs="黑体"/>
          <w:b w:val="0"/>
          <w:bCs w:val="0"/>
          <w:i w:val="0"/>
          <w:iCs w:val="0"/>
          <w:color w:val="333333"/>
          <w:spacing w:val="0"/>
          <w:w w:val="100"/>
          <w:sz w:val="21"/>
          <w:szCs w:val="21"/>
          <w:vertAlign w:val="baseline"/>
        </w:rPr>
      </w:pPr>
    </w:p>
    <w:p>
      <w:pPr>
        <w:pStyle w:val="31"/>
        <w:keepNext w:val="0"/>
        <w:keepLines w:val="0"/>
        <w:widowControl/>
        <w:suppressLineNumbers w:val="0"/>
        <w:spacing w:before="0" w:beforeAutospacing="0" w:after="0" w:afterAutospacing="0" w:line="240" w:lineRule="auto"/>
        <w:ind w:left="0" w:right="0" w:firstLine="420"/>
        <w:jc w:val="center"/>
        <w:rPr>
          <w:rFonts w:hint="eastAsia" w:ascii="黑体" w:hAnsi="宋体" w:eastAsia="黑体" w:cs="黑体"/>
          <w:b w:val="0"/>
          <w:bCs w:val="0"/>
          <w:i w:val="0"/>
          <w:iCs w:val="0"/>
          <w:color w:val="333333"/>
          <w:spacing w:val="0"/>
          <w:w w:val="100"/>
          <w:sz w:val="21"/>
          <w:szCs w:val="21"/>
          <w:vertAlign w:val="baseline"/>
        </w:rPr>
      </w:pPr>
    </w:p>
    <w:p>
      <w:pPr>
        <w:pStyle w:val="31"/>
        <w:keepNext w:val="0"/>
        <w:keepLines w:val="0"/>
        <w:widowControl/>
        <w:suppressLineNumbers w:val="0"/>
        <w:spacing w:before="0" w:beforeAutospacing="0" w:after="0" w:afterAutospacing="0" w:line="240" w:lineRule="auto"/>
        <w:ind w:left="0" w:right="0" w:firstLine="420"/>
        <w:jc w:val="center"/>
        <w:rPr>
          <w:rFonts w:hint="eastAsia" w:ascii="黑体" w:hAnsi="宋体" w:eastAsia="黑体" w:cs="黑体"/>
          <w:b w:val="0"/>
          <w:bCs w:val="0"/>
          <w:i w:val="0"/>
          <w:iCs w:val="0"/>
          <w:color w:val="333333"/>
          <w:spacing w:val="0"/>
          <w:w w:val="100"/>
          <w:sz w:val="21"/>
          <w:szCs w:val="21"/>
          <w:vertAlign w:val="baseline"/>
        </w:rPr>
      </w:pPr>
    </w:p>
    <w:p>
      <w:pPr>
        <w:pStyle w:val="31"/>
        <w:keepNext w:val="0"/>
        <w:keepLines w:val="0"/>
        <w:widowControl/>
        <w:suppressLineNumbers w:val="0"/>
        <w:spacing w:before="0" w:beforeAutospacing="0" w:after="0" w:afterAutospacing="0" w:line="240" w:lineRule="auto"/>
        <w:ind w:left="0" w:right="0" w:firstLine="420"/>
        <w:jc w:val="center"/>
        <w:rPr>
          <w:rFonts w:hint="eastAsia" w:ascii="黑体" w:hAnsi="宋体" w:eastAsia="黑体" w:cs="黑体"/>
          <w:b w:val="0"/>
          <w:bCs w:val="0"/>
          <w:i w:val="0"/>
          <w:iCs w:val="0"/>
          <w:color w:val="333333"/>
          <w:spacing w:val="0"/>
          <w:w w:val="100"/>
          <w:sz w:val="21"/>
          <w:szCs w:val="21"/>
          <w:vertAlign w:val="baseline"/>
        </w:rPr>
      </w:pPr>
    </w:p>
    <w:p>
      <w:pPr>
        <w:pStyle w:val="31"/>
        <w:keepNext w:val="0"/>
        <w:keepLines w:val="0"/>
        <w:widowControl/>
        <w:suppressLineNumbers w:val="0"/>
        <w:spacing w:before="0" w:beforeAutospacing="0" w:after="0" w:afterAutospacing="0" w:line="240" w:lineRule="auto"/>
        <w:ind w:left="0" w:right="0" w:firstLine="420"/>
        <w:jc w:val="center"/>
        <w:rPr>
          <w:rFonts w:hint="eastAsia" w:ascii="黑体" w:hAnsi="宋体" w:eastAsia="黑体" w:cs="黑体"/>
          <w:b w:val="0"/>
          <w:bCs w:val="0"/>
          <w:i w:val="0"/>
          <w:iCs w:val="0"/>
          <w:color w:val="333333"/>
          <w:spacing w:val="0"/>
          <w:w w:val="100"/>
          <w:sz w:val="21"/>
          <w:szCs w:val="21"/>
          <w:vertAlign w:val="baseline"/>
        </w:rPr>
      </w:pPr>
    </w:p>
    <w:p>
      <w:pPr>
        <w:pStyle w:val="31"/>
        <w:keepNext w:val="0"/>
        <w:keepLines w:val="0"/>
        <w:widowControl/>
        <w:suppressLineNumbers w:val="0"/>
        <w:spacing w:before="0" w:beforeAutospacing="0" w:after="0" w:afterAutospacing="0" w:line="240" w:lineRule="auto"/>
        <w:ind w:left="0" w:right="0" w:firstLine="420"/>
        <w:jc w:val="center"/>
        <w:rPr>
          <w:rFonts w:hint="eastAsia" w:ascii="黑体" w:hAnsi="宋体" w:eastAsia="黑体" w:cs="黑体"/>
          <w:b w:val="0"/>
          <w:bCs w:val="0"/>
          <w:i w:val="0"/>
          <w:iCs w:val="0"/>
          <w:color w:val="333333"/>
          <w:spacing w:val="0"/>
          <w:w w:val="100"/>
          <w:sz w:val="21"/>
          <w:szCs w:val="21"/>
          <w:vertAlign w:val="baseline"/>
        </w:rPr>
      </w:pPr>
    </w:p>
    <w:p>
      <w:pPr>
        <w:pStyle w:val="31"/>
        <w:keepNext w:val="0"/>
        <w:keepLines w:val="0"/>
        <w:widowControl/>
        <w:suppressLineNumbers w:val="0"/>
        <w:spacing w:before="0" w:beforeAutospacing="0" w:after="0" w:afterAutospacing="0" w:line="240" w:lineRule="auto"/>
        <w:ind w:left="0" w:right="0" w:firstLine="420"/>
        <w:jc w:val="center"/>
        <w:rPr>
          <w:rFonts w:hint="eastAsia" w:ascii="黑体" w:hAnsi="宋体" w:eastAsia="黑体" w:cs="黑体"/>
          <w:b w:val="0"/>
          <w:bCs w:val="0"/>
          <w:i w:val="0"/>
          <w:iCs w:val="0"/>
          <w:color w:val="333333"/>
          <w:spacing w:val="0"/>
          <w:w w:val="100"/>
          <w:sz w:val="21"/>
          <w:szCs w:val="21"/>
          <w:vertAlign w:val="baseline"/>
        </w:rPr>
      </w:pPr>
    </w:p>
    <w:p>
      <w:pPr>
        <w:pStyle w:val="31"/>
        <w:keepNext w:val="0"/>
        <w:keepLines w:val="0"/>
        <w:widowControl/>
        <w:suppressLineNumbers w:val="0"/>
        <w:spacing w:before="0" w:beforeAutospacing="0" w:after="0" w:afterAutospacing="0" w:line="240" w:lineRule="auto"/>
        <w:ind w:left="0" w:right="0" w:firstLine="420"/>
        <w:jc w:val="center"/>
        <w:rPr>
          <w:rFonts w:hint="eastAsia" w:ascii="黑体" w:hAnsi="宋体" w:eastAsia="黑体" w:cs="黑体"/>
          <w:b w:val="0"/>
          <w:bCs w:val="0"/>
          <w:i w:val="0"/>
          <w:iCs w:val="0"/>
          <w:color w:val="333333"/>
          <w:spacing w:val="0"/>
          <w:w w:val="100"/>
          <w:sz w:val="21"/>
          <w:szCs w:val="21"/>
          <w:vertAlign w:val="baseline"/>
        </w:rPr>
      </w:pPr>
    </w:p>
    <w:p>
      <w:pPr>
        <w:pStyle w:val="31"/>
        <w:keepNext w:val="0"/>
        <w:keepLines w:val="0"/>
        <w:widowControl/>
        <w:suppressLineNumbers w:val="0"/>
        <w:spacing w:before="0" w:beforeAutospacing="0" w:after="0" w:afterAutospacing="0" w:line="240" w:lineRule="auto"/>
        <w:ind w:left="0" w:right="0" w:firstLine="420"/>
        <w:jc w:val="center"/>
      </w:pPr>
      <w:r>
        <w:rPr>
          <w:rFonts w:hint="eastAsia" w:ascii="黑体" w:hAnsi="宋体" w:eastAsia="黑体" w:cs="黑体"/>
          <w:b w:val="0"/>
          <w:bCs w:val="0"/>
          <w:i w:val="0"/>
          <w:iCs w:val="0"/>
          <w:color w:val="333333"/>
          <w:spacing w:val="0"/>
          <w:w w:val="100"/>
          <w:sz w:val="21"/>
          <w:szCs w:val="21"/>
          <w:vertAlign w:val="baseline"/>
        </w:rPr>
        <w:t>参考文献</w:t>
      </w:r>
    </w:p>
    <w:p>
      <w:pPr>
        <w:pStyle w:val="31"/>
        <w:keepNext w:val="0"/>
        <w:keepLines w:val="0"/>
        <w:widowControl/>
        <w:suppressLineNumbers w:val="0"/>
        <w:spacing w:before="0" w:beforeAutospacing="0" w:after="0" w:afterAutospacing="0" w:line="240" w:lineRule="auto"/>
        <w:ind w:left="0" w:right="0" w:firstLine="420"/>
        <w:jc w:val="both"/>
      </w:pPr>
      <w:r>
        <w:rPr>
          <w:rFonts w:hint="eastAsia" w:ascii="黑体" w:hAnsi="宋体" w:eastAsia="黑体" w:cs="黑体"/>
          <w:b w:val="0"/>
          <w:bCs w:val="0"/>
          <w:i w:val="0"/>
          <w:iCs w:val="0"/>
          <w:color w:val="333333"/>
          <w:spacing w:val="0"/>
          <w:w w:val="100"/>
          <w:sz w:val="21"/>
          <w:szCs w:val="21"/>
          <w:vertAlign w:val="baseline"/>
        </w:rPr>
        <w:t>[1]</w:t>
      </w:r>
      <w:r>
        <w:rPr>
          <w:rFonts w:hint="eastAsia" w:ascii="宋体" w:hAnsi="宋体" w:eastAsia="宋体" w:cs="宋体"/>
          <w:b w:val="0"/>
          <w:bCs w:val="0"/>
          <w:i w:val="0"/>
          <w:iCs w:val="0"/>
          <w:color w:val="333333"/>
          <w:spacing w:val="0"/>
          <w:w w:val="100"/>
          <w:sz w:val="21"/>
          <w:szCs w:val="21"/>
          <w:vertAlign w:val="baseline"/>
        </w:rPr>
        <w:t>《中华人民共和国电子商务法》</w:t>
      </w:r>
    </w:p>
    <w:p>
      <w:pPr>
        <w:pStyle w:val="31"/>
        <w:keepNext w:val="0"/>
        <w:keepLines w:val="0"/>
        <w:widowControl/>
        <w:suppressLineNumbers w:val="0"/>
        <w:spacing w:before="0" w:beforeAutospacing="0" w:after="0" w:afterAutospacing="0" w:line="240" w:lineRule="auto"/>
        <w:ind w:left="0" w:right="0" w:firstLine="420"/>
        <w:jc w:val="both"/>
      </w:pPr>
      <w:r>
        <w:rPr>
          <w:rFonts w:hint="eastAsia" w:ascii="黑体" w:hAnsi="宋体" w:eastAsia="黑体" w:cs="黑体"/>
          <w:b w:val="0"/>
          <w:bCs w:val="0"/>
          <w:i w:val="0"/>
          <w:iCs w:val="0"/>
          <w:color w:val="333333"/>
          <w:spacing w:val="0"/>
          <w:w w:val="100"/>
          <w:sz w:val="21"/>
          <w:szCs w:val="21"/>
          <w:vertAlign w:val="baseline"/>
        </w:rPr>
        <w:t>[2]</w:t>
      </w:r>
      <w:r>
        <w:rPr>
          <w:rFonts w:hint="eastAsia" w:ascii="宋体" w:hAnsi="宋体" w:eastAsia="宋体" w:cs="宋体"/>
          <w:b w:val="0"/>
          <w:bCs w:val="0"/>
          <w:i w:val="0"/>
          <w:iCs w:val="0"/>
          <w:color w:val="333333"/>
          <w:spacing w:val="0"/>
          <w:w w:val="100"/>
          <w:sz w:val="21"/>
          <w:szCs w:val="21"/>
          <w:vertAlign w:val="baseline"/>
        </w:rPr>
        <w:t>《网络交易监督管理办法》</w:t>
      </w:r>
    </w:p>
    <w:p>
      <w:pPr>
        <w:pStyle w:val="31"/>
        <w:keepNext w:val="0"/>
        <w:keepLines w:val="0"/>
        <w:widowControl/>
        <w:suppressLineNumbers w:val="0"/>
        <w:spacing w:before="0" w:beforeAutospacing="0" w:after="0" w:afterAutospacing="0" w:line="240" w:lineRule="auto"/>
        <w:ind w:left="0" w:right="0" w:firstLine="420"/>
        <w:jc w:val="both"/>
      </w:pPr>
      <w:r>
        <w:rPr>
          <w:rFonts w:hint="eastAsia" w:ascii="黑体" w:hAnsi="宋体" w:eastAsia="黑体" w:cs="黑体"/>
          <w:b w:val="0"/>
          <w:bCs w:val="0"/>
          <w:i w:val="0"/>
          <w:iCs w:val="0"/>
          <w:color w:val="333333"/>
          <w:spacing w:val="0"/>
          <w:w w:val="100"/>
          <w:sz w:val="21"/>
          <w:szCs w:val="21"/>
          <w:vertAlign w:val="baseline"/>
        </w:rPr>
        <w:t>[3]</w:t>
      </w:r>
      <w:r>
        <w:rPr>
          <w:rFonts w:hint="eastAsia" w:ascii="宋体" w:hAnsi="宋体" w:eastAsia="宋体" w:cs="宋体"/>
          <w:b w:val="0"/>
          <w:bCs w:val="0"/>
          <w:i w:val="0"/>
          <w:iCs w:val="0"/>
          <w:color w:val="333333"/>
          <w:spacing w:val="0"/>
          <w:w w:val="100"/>
          <w:sz w:val="21"/>
          <w:szCs w:val="21"/>
          <w:vertAlign w:val="baseline"/>
        </w:rPr>
        <w:t>《江苏省社会信用条例》</w:t>
      </w:r>
    </w:p>
    <w:p>
      <w:pPr>
        <w:pStyle w:val="31"/>
        <w:keepNext w:val="0"/>
        <w:keepLines w:val="0"/>
        <w:widowControl/>
        <w:suppressLineNumbers w:val="0"/>
        <w:spacing w:before="0" w:beforeAutospacing="0" w:after="0" w:afterAutospacing="0" w:line="240" w:lineRule="auto"/>
        <w:ind w:left="0" w:right="0" w:firstLine="420"/>
        <w:jc w:val="both"/>
      </w:pPr>
      <w:r>
        <w:rPr>
          <w:rFonts w:hint="eastAsia" w:ascii="黑体" w:hAnsi="宋体" w:eastAsia="黑体" w:cs="黑体"/>
          <w:b w:val="0"/>
          <w:bCs w:val="0"/>
          <w:i w:val="0"/>
          <w:iCs w:val="0"/>
          <w:color w:val="333333"/>
          <w:spacing w:val="0"/>
          <w:w w:val="100"/>
          <w:sz w:val="21"/>
          <w:szCs w:val="21"/>
          <w:vertAlign w:val="baseline"/>
        </w:rPr>
        <w:t>[4]</w:t>
      </w:r>
      <w:r>
        <w:rPr>
          <w:rFonts w:hint="eastAsia" w:ascii="宋体" w:hAnsi="宋体" w:eastAsia="宋体" w:cs="宋体"/>
          <w:b w:val="0"/>
          <w:bCs w:val="0"/>
          <w:i w:val="0"/>
          <w:iCs w:val="0"/>
          <w:color w:val="333333"/>
          <w:spacing w:val="0"/>
          <w:w w:val="100"/>
          <w:sz w:val="21"/>
          <w:szCs w:val="21"/>
          <w:vertAlign w:val="baseline"/>
        </w:rPr>
        <w:t>《关于加快推进社会信用体系建设 构建以信用为基础的新型监管机制的指导意见》</w:t>
      </w:r>
    </w:p>
    <w:p>
      <w:pPr>
        <w:pStyle w:val="24"/>
        <w:rPr>
          <w:rFonts w:asciiTheme="minorEastAsia" w:hAnsiTheme="minorEastAsia" w:eastAsiaTheme="minorEastAsia"/>
        </w:rPr>
      </w:pPr>
      <w:r>
        <w:rPr>
          <w:rFonts w:hint="eastAsia" w:ascii="黑体" w:hAnsi="宋体" w:eastAsia="黑体" w:cs="黑体"/>
          <w:b w:val="0"/>
          <w:bCs w:val="0"/>
          <w:i w:val="0"/>
          <w:iCs w:val="0"/>
          <w:color w:val="333333"/>
          <w:spacing w:val="0"/>
          <w:w w:val="100"/>
          <w:sz w:val="21"/>
          <w:szCs w:val="21"/>
          <w:vertAlign w:val="baseline"/>
        </w:rPr>
        <w:t>[5]</w:t>
      </w:r>
      <w:r>
        <w:rPr>
          <w:rFonts w:hint="eastAsia" w:ascii="宋体" w:hAnsi="宋体" w:eastAsia="宋体" w:cs="宋体"/>
          <w:b w:val="0"/>
          <w:bCs w:val="0"/>
          <w:i w:val="0"/>
          <w:iCs w:val="0"/>
          <w:color w:val="333333"/>
          <w:spacing w:val="0"/>
          <w:w w:val="100"/>
          <w:sz w:val="21"/>
          <w:szCs w:val="21"/>
          <w:vertAlign w:val="baseline"/>
        </w:rPr>
        <w:t>《市场监管总局关于推进企业信用风险分类管理进一步提升监管效能的意见》</w:t>
      </w:r>
    </w:p>
    <w:p>
      <w:pPr>
        <w:pStyle w:val="129"/>
        <w:framePr w:wrap="around"/>
      </w:pPr>
      <w:r>
        <w:t>_________________________________</w:t>
      </w:r>
    </w:p>
    <w:p>
      <w:pPr>
        <w:pStyle w:val="24"/>
        <w:rPr>
          <w:rFonts w:asciiTheme="minorEastAsia" w:hAnsiTheme="minorEastAsia" w:eastAsiaTheme="minorEastAsia"/>
        </w:rPr>
      </w:pPr>
    </w:p>
    <w:p>
      <w:pPr>
        <w:pStyle w:val="24"/>
        <w:rPr>
          <w:rFonts w:asciiTheme="minorEastAsia" w:hAnsiTheme="minorEastAsia" w:eastAsiaTheme="minorEastAsia"/>
        </w:rPr>
      </w:pPr>
    </w:p>
    <w:p>
      <w:pPr>
        <w:pStyle w:val="86"/>
      </w:pPr>
    </w:p>
    <w:sectPr>
      <w:pgSz w:w="11906" w:h="16838"/>
      <w:pgMar w:top="567" w:right="1134" w:bottom="1134" w:left="1418" w:header="1418" w:footer="1134" w:gutter="0"/>
      <w:pgNumType w:start="1"/>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r>
      <w:fldChar w:fldCharType="begin"/>
    </w:r>
    <w:r>
      <w:instrText xml:space="preserve"> PAGE  \* MERGEFORMAT </w:instrText>
    </w:r>
    <w:r>
      <w:fldChar w:fldCharType="separate"/>
    </w:r>
    <w:r>
      <w:t>I</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r>
      <w:t>DB</w:t>
    </w:r>
    <w:r>
      <w:rPr>
        <w:rFonts w:hint="eastAsia"/>
      </w:rPr>
      <w:t>3213</w:t>
    </w:r>
    <w:r>
      <w:t>/</w:t>
    </w:r>
    <w:r>
      <w:rPr>
        <w:rFonts w:hint="eastAsia"/>
      </w:rPr>
      <w:t>T</w:t>
    </w:r>
    <w:r>
      <w:t xml:space="preserve">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6457FC"/>
    <w:multiLevelType w:val="multilevel"/>
    <w:tmpl w:val="836457FC"/>
    <w:lvl w:ilvl="0" w:tentative="0">
      <w:start w:val="1"/>
      <w:numFmt w:val="decimal"/>
      <w:lvlText w:val="%1　"/>
      <w:lvlJc w:val="left"/>
      <w:pPr>
        <w:ind w:left="720"/>
      </w:pPr>
      <w:rPr>
        <w:rFonts w:hint="default" w:ascii="Times New Roman" w:hAnsi="Times New Roman" w:cs="Times New Roman"/>
        <w:b w:val="0"/>
        <w:bCs w:val="0"/>
      </w:rPr>
    </w:lvl>
    <w:lvl w:ilvl="1" w:tentative="0">
      <w:start w:val="1"/>
      <w:numFmt w:val="decimal"/>
      <w:lvlText w:val="%1.%2　"/>
      <w:lvlJc w:val="left"/>
      <w:pPr>
        <w:ind w:left="1440"/>
      </w:pPr>
      <w:rPr>
        <w:rFonts w:hint="default" w:ascii="Times New Roman" w:hAnsi="Times New Roman" w:cs="Times New Roman"/>
        <w:b w:val="0"/>
        <w:bCs w:val="0"/>
      </w:rPr>
    </w:lvl>
    <w:lvl w:ilvl="2" w:tentative="0">
      <w:start w:val="1"/>
      <w:numFmt w:val="decimal"/>
      <w:lvlText w:val="%1.%2.%3　"/>
      <w:lvlJc w:val="left"/>
      <w:pPr>
        <w:ind w:left="2160"/>
      </w:pPr>
      <w:rPr>
        <w:rFonts w:hint="default" w:ascii="Times New Roman" w:hAnsi="Times New Roman" w:cs="Times New Roman"/>
      </w:rPr>
    </w:lvl>
    <w:lvl w:ilvl="3" w:tentative="0">
      <w:start w:val="1"/>
      <w:numFmt w:val="decimal"/>
      <w:lvlText w:val="%1.%2.%3.%4　"/>
      <w:lvlJc w:val="left"/>
      <w:pPr>
        <w:ind w:left="2880"/>
      </w:pPr>
      <w:rPr>
        <w:rFonts w:hint="default" w:ascii="Times New Roman" w:hAnsi="Times New Roman" w:cs="Times New Roman"/>
      </w:rPr>
    </w:lvl>
    <w:lvl w:ilvl="4" w:tentative="0">
      <w:start w:val="1"/>
      <w:numFmt w:val="decimal"/>
      <w:lvlText w:val="%1.%2.%3.%4.%5　"/>
      <w:lvlJc w:val="left"/>
      <w:pPr>
        <w:ind w:left="3600"/>
      </w:pPr>
      <w:rPr>
        <w:rFonts w:hint="default" w:ascii="Times New Roman" w:hAnsi="Times New Roman" w:cs="Times New Roman"/>
      </w:rPr>
    </w:lvl>
    <w:lvl w:ilvl="5" w:tentative="0">
      <w:start w:val="1"/>
      <w:numFmt w:val="decimal"/>
      <w:lvlText w:val="%1.%2.%3.%4.%5.%6　"/>
      <w:lvlJc w:val="left"/>
      <w:pPr>
        <w:ind w:left="4320"/>
      </w:pPr>
      <w:rPr>
        <w:rFonts w:hint="default" w:ascii="Times New Roman" w:hAnsi="Times New Roman" w:cs="Times New Roman"/>
      </w:rPr>
    </w:lvl>
    <w:lvl w:ilvl="6" w:tentative="0">
      <w:start w:val="1"/>
      <w:numFmt w:val="decimal"/>
      <w:lvlText w:val="%1%2.%3.%4.%5.%6.%7　"/>
      <w:lvlJc w:val="left"/>
      <w:pPr>
        <w:ind w:left="5040"/>
      </w:pPr>
      <w:rPr>
        <w:rFonts w:hint="default" w:ascii="Times New Roman" w:hAnsi="Times New Roman" w:cs="Times New Roman"/>
      </w:rPr>
    </w:lvl>
    <w:lvl w:ilvl="7" w:tentative="0">
      <w:start w:val="1"/>
      <w:numFmt w:val="decimal"/>
      <w:lvlText w:val="%1.%2.%3.%4.%5.%6.%7.%8"/>
      <w:lvlJc w:val="left"/>
      <w:pPr>
        <w:ind w:left="5760"/>
      </w:pPr>
      <w:rPr>
        <w:rFonts w:hint="default" w:ascii="Times New Roman" w:hAnsi="Times New Roman" w:cs="Times New Roman"/>
      </w:rPr>
    </w:lvl>
    <w:lvl w:ilvl="8" w:tentative="0">
      <w:start w:val="1"/>
      <w:numFmt w:val="decimal"/>
      <w:lvlText w:val="%1.%2.%3.%4.%5.%6.%7.%8.%9"/>
      <w:lvlJc w:val="left"/>
      <w:pPr>
        <w:ind w:left="6480"/>
      </w:pPr>
      <w:rPr>
        <w:rFonts w:hint="default" w:ascii="Times New Roman" w:hAnsi="Times New Roman" w:cs="Times New Roman"/>
      </w:rPr>
    </w:lvl>
  </w:abstractNum>
  <w:abstractNum w:abstractNumId="1">
    <w:nsid w:val="079102AD"/>
    <w:multiLevelType w:val="multilevel"/>
    <w:tmpl w:val="079102AD"/>
    <w:lvl w:ilvl="0" w:tentative="0">
      <w:start w:val="1"/>
      <w:numFmt w:val="decimal"/>
      <w:pStyle w:val="58"/>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093C6778"/>
    <w:multiLevelType w:val="multilevel"/>
    <w:tmpl w:val="093C6778"/>
    <w:lvl w:ilvl="0" w:tentative="0">
      <w:start w:val="1"/>
      <w:numFmt w:val="decimal"/>
      <w:pStyle w:val="116"/>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AE367E9"/>
    <w:multiLevelType w:val="multilevel"/>
    <w:tmpl w:val="0AE367E9"/>
    <w:lvl w:ilvl="0" w:tentative="0">
      <w:start w:val="1"/>
      <w:numFmt w:val="none"/>
      <w:pStyle w:val="52"/>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4">
    <w:nsid w:val="0DCEDC43"/>
    <w:multiLevelType w:val="multilevel"/>
    <w:tmpl w:val="0DCEDC43"/>
    <w:lvl w:ilvl="0" w:tentative="0">
      <w:start w:val="1"/>
      <w:numFmt w:val="upperLetter"/>
      <w:lvlText w:val="附　录　%1"/>
      <w:lvlJc w:val="left"/>
      <w:pPr>
        <w:ind w:left="720"/>
      </w:pPr>
      <w:rPr>
        <w:rFonts w:hint="default" w:ascii="Times New Roman" w:hAnsi="Times New Roman" w:cs="Times New Roman"/>
      </w:rPr>
    </w:lvl>
    <w:lvl w:ilvl="1" w:tentative="0">
      <w:start w:val="1"/>
      <w:numFmt w:val="decimal"/>
      <w:lvlText w:val="%1.%2　"/>
      <w:lvlJc w:val="left"/>
      <w:pPr>
        <w:ind w:left="1440"/>
      </w:pPr>
      <w:rPr>
        <w:rFonts w:hint="default" w:ascii="Times New Roman" w:hAnsi="Times New Roman" w:cs="Times New Roman"/>
      </w:rPr>
    </w:lvl>
    <w:lvl w:ilvl="2" w:tentative="0">
      <w:start w:val="1"/>
      <w:numFmt w:val="decimal"/>
      <w:lvlText w:val="%1.%2.%3　"/>
      <w:lvlJc w:val="left"/>
      <w:pPr>
        <w:ind w:left="2160"/>
      </w:pPr>
      <w:rPr>
        <w:rFonts w:hint="default" w:ascii="Times New Roman" w:hAnsi="Times New Roman" w:cs="Times New Roman"/>
      </w:rPr>
    </w:lvl>
    <w:lvl w:ilvl="3" w:tentative="0">
      <w:start w:val="1"/>
      <w:numFmt w:val="decimal"/>
      <w:lvlText w:val="%1.%2.%3.%4　"/>
      <w:lvlJc w:val="left"/>
      <w:pPr>
        <w:ind w:left="2880"/>
      </w:pPr>
      <w:rPr>
        <w:rFonts w:hint="default" w:ascii="Times New Roman" w:hAnsi="Times New Roman" w:cs="Times New Roman"/>
      </w:rPr>
    </w:lvl>
    <w:lvl w:ilvl="4" w:tentative="0">
      <w:start w:val="1"/>
      <w:numFmt w:val="decimal"/>
      <w:lvlText w:val="%1.%2.%3.%4.%5　"/>
      <w:lvlJc w:val="left"/>
      <w:pPr>
        <w:ind w:left="3600"/>
      </w:pPr>
      <w:rPr>
        <w:rFonts w:hint="default" w:ascii="Times New Roman" w:hAnsi="Times New Roman" w:cs="Times New Roman"/>
      </w:rPr>
    </w:lvl>
    <w:lvl w:ilvl="5" w:tentative="0">
      <w:start w:val="1"/>
      <w:numFmt w:val="decimal"/>
      <w:lvlText w:val="%1.%2.%3.%4.%5.%6　"/>
      <w:lvlJc w:val="left"/>
      <w:pPr>
        <w:ind w:left="4320"/>
      </w:pPr>
      <w:rPr>
        <w:rFonts w:hint="default" w:ascii="Times New Roman" w:hAnsi="Times New Roman" w:cs="Times New Roman"/>
      </w:rPr>
    </w:lvl>
    <w:lvl w:ilvl="6" w:tentative="0">
      <w:start w:val="1"/>
      <w:numFmt w:val="decimal"/>
      <w:lvlText w:val="%1.%2.%3.%4.%5.%6.%7　"/>
      <w:lvlJc w:val="left"/>
      <w:pPr>
        <w:ind w:left="5040"/>
      </w:pPr>
      <w:rPr>
        <w:rFonts w:hint="default" w:ascii="Times New Roman" w:hAnsi="Times New Roman" w:cs="Times New Roman"/>
      </w:rPr>
    </w:lvl>
    <w:lvl w:ilvl="7" w:tentative="0">
      <w:start w:val="1"/>
      <w:numFmt w:val="decimal"/>
      <w:lvlText w:val="%1.%2.%3.%4.%5.%6.%7.%8"/>
      <w:lvlJc w:val="left"/>
      <w:pPr>
        <w:ind w:left="5760"/>
      </w:pPr>
      <w:rPr>
        <w:rFonts w:hint="default" w:ascii="Times New Roman" w:hAnsi="Times New Roman" w:cs="Times New Roman"/>
      </w:rPr>
    </w:lvl>
    <w:lvl w:ilvl="8" w:tentative="0">
      <w:start w:val="1"/>
      <w:numFmt w:val="decimal"/>
      <w:lvlText w:val="%1.%2.%3.%4.%5.%6.%7.%8.%9"/>
      <w:lvlJc w:val="left"/>
      <w:pPr>
        <w:ind w:left="6480"/>
      </w:pPr>
      <w:rPr>
        <w:rFonts w:hint="default" w:ascii="Times New Roman" w:hAnsi="Times New Roman" w:cs="Times New Roman"/>
      </w:rPr>
    </w:lvl>
  </w:abstractNum>
  <w:abstractNum w:abstractNumId="5">
    <w:nsid w:val="0DDE2B46"/>
    <w:multiLevelType w:val="multilevel"/>
    <w:tmpl w:val="0DDE2B46"/>
    <w:lvl w:ilvl="0" w:tentative="0">
      <w:start w:val="1"/>
      <w:numFmt w:val="lowerLetter"/>
      <w:pStyle w:val="121"/>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6">
    <w:nsid w:val="1DBF583A"/>
    <w:multiLevelType w:val="multilevel"/>
    <w:tmpl w:val="1DBF583A"/>
    <w:lvl w:ilvl="0" w:tentative="0">
      <w:start w:val="1"/>
      <w:numFmt w:val="decimal"/>
      <w:pStyle w:val="65"/>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7">
    <w:nsid w:val="1FC91163"/>
    <w:multiLevelType w:val="multilevel"/>
    <w:tmpl w:val="1FC91163"/>
    <w:lvl w:ilvl="0" w:tentative="0">
      <w:start w:val="1"/>
      <w:numFmt w:val="decimal"/>
      <w:pStyle w:val="4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2"/>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46"/>
      <w:suff w:val="nothing"/>
      <w:lvlText w:val="%1.%2.%3　"/>
      <w:lvlJc w:val="left"/>
      <w:pPr>
        <w:ind w:left="0" w:firstLine="0"/>
      </w:pPr>
      <w:rPr>
        <w:rFonts w:hint="eastAsia" w:ascii="黑体" w:hAnsi="Times New Roman" w:eastAsia="黑体"/>
        <w:b w:val="0"/>
        <w:i w:val="0"/>
        <w:sz w:val="21"/>
      </w:rPr>
    </w:lvl>
    <w:lvl w:ilvl="3" w:tentative="0">
      <w:start w:val="1"/>
      <w:numFmt w:val="decimal"/>
      <w:pStyle w:val="51"/>
      <w:suff w:val="nothing"/>
      <w:lvlText w:val="%1.%2.%3.%4　"/>
      <w:lvlJc w:val="left"/>
      <w:pPr>
        <w:ind w:left="0" w:firstLine="0"/>
      </w:pPr>
      <w:rPr>
        <w:rFonts w:hint="eastAsia" w:ascii="黑体" w:hAnsi="Times New Roman" w:eastAsia="黑体"/>
        <w:b w:val="0"/>
        <w:i w:val="0"/>
        <w:sz w:val="21"/>
      </w:rPr>
    </w:lvl>
    <w:lvl w:ilvl="4" w:tentative="0">
      <w:start w:val="1"/>
      <w:numFmt w:val="decimal"/>
      <w:pStyle w:val="55"/>
      <w:suff w:val="nothing"/>
      <w:lvlText w:val="%1.%2.%3.%4.%5　"/>
      <w:lvlJc w:val="left"/>
      <w:pPr>
        <w:ind w:left="0" w:firstLine="0"/>
      </w:pPr>
      <w:rPr>
        <w:rFonts w:hint="eastAsia" w:ascii="黑体" w:hAnsi="Times New Roman" w:eastAsia="黑体"/>
        <w:b w:val="0"/>
        <w:i w:val="0"/>
        <w:sz w:val="21"/>
      </w:rPr>
    </w:lvl>
    <w:lvl w:ilvl="5" w:tentative="0">
      <w:start w:val="1"/>
      <w:numFmt w:val="decimal"/>
      <w:pStyle w:val="56"/>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2A8F7113"/>
    <w:multiLevelType w:val="multilevel"/>
    <w:tmpl w:val="2A8F7113"/>
    <w:lvl w:ilvl="0" w:tentative="0">
      <w:start w:val="1"/>
      <w:numFmt w:val="upperLetter"/>
      <w:pStyle w:val="98"/>
      <w:suff w:val="space"/>
      <w:lvlText w:val="%1"/>
      <w:lvlJc w:val="left"/>
      <w:pPr>
        <w:ind w:left="623" w:hanging="425"/>
      </w:pPr>
      <w:rPr>
        <w:rFonts w:hint="eastAsia"/>
      </w:rPr>
    </w:lvl>
    <w:lvl w:ilvl="1" w:tentative="0">
      <w:start w:val="1"/>
      <w:numFmt w:val="decimal"/>
      <w:pStyle w:val="99"/>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9">
    <w:nsid w:val="2C5917C3"/>
    <w:multiLevelType w:val="multilevel"/>
    <w:tmpl w:val="2C5917C3"/>
    <w:lvl w:ilvl="0" w:tentative="0">
      <w:start w:val="1"/>
      <w:numFmt w:val="none"/>
      <w:pStyle w:val="48"/>
      <w:suff w:val="nothing"/>
      <w:lvlText w:val="%1——"/>
      <w:lvlJc w:val="left"/>
      <w:pPr>
        <w:ind w:left="833" w:hanging="408"/>
      </w:pPr>
      <w:rPr>
        <w:rFonts w:hint="eastAsia"/>
      </w:rPr>
    </w:lvl>
    <w:lvl w:ilvl="1" w:tentative="0">
      <w:start w:val="1"/>
      <w:numFmt w:val="bullet"/>
      <w:pStyle w:val="49"/>
      <w:lvlText w:val=""/>
      <w:lvlJc w:val="left"/>
      <w:pPr>
        <w:tabs>
          <w:tab w:val="left" w:pos="760"/>
        </w:tabs>
        <w:ind w:left="1264" w:hanging="413"/>
      </w:pPr>
      <w:rPr>
        <w:rFonts w:hint="default" w:ascii="Symbol" w:hAnsi="Symbol"/>
        <w:color w:val="auto"/>
      </w:rPr>
    </w:lvl>
    <w:lvl w:ilvl="2" w:tentative="0">
      <w:start w:val="1"/>
      <w:numFmt w:val="bullet"/>
      <w:pStyle w:val="60"/>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0">
    <w:nsid w:val="2DC0DAA0"/>
    <w:multiLevelType w:val="multilevel"/>
    <w:tmpl w:val="2DC0DAA0"/>
    <w:lvl w:ilvl="0" w:tentative="0">
      <w:start w:val="1"/>
      <w:numFmt w:val="upperLetter"/>
      <w:lvlText w:val="%1"/>
      <w:lvlJc w:val="left"/>
      <w:pPr>
        <w:ind w:left="720"/>
      </w:pPr>
      <w:rPr>
        <w:rFonts w:hint="default" w:ascii="Times New Roman" w:hAnsi="Times New Roman" w:cs="Times New Roman"/>
      </w:rPr>
    </w:lvl>
    <w:lvl w:ilvl="1" w:tentative="0">
      <w:start w:val="1"/>
      <w:numFmt w:val="decimal"/>
      <w:lvlText w:val="表%1.%2　"/>
      <w:lvlJc w:val="left"/>
      <w:pPr>
        <w:ind w:left="1440"/>
      </w:pPr>
      <w:rPr>
        <w:rFonts w:hint="default" w:ascii="Times New Roman" w:hAnsi="Times New Roman" w:cs="Times New Roman"/>
      </w:rPr>
    </w:lvl>
    <w:lvl w:ilvl="2" w:tentative="0">
      <w:start w:val="1"/>
      <w:numFmt w:val="decimal"/>
      <w:lvlText w:val="%1.%2.%3"/>
      <w:lvlJc w:val="left"/>
      <w:pPr>
        <w:ind w:left="2160"/>
      </w:pPr>
      <w:rPr>
        <w:rFonts w:hint="default" w:ascii="Times New Roman" w:hAnsi="Times New Roman" w:cs="Times New Roman"/>
      </w:rPr>
    </w:lvl>
    <w:lvl w:ilvl="3" w:tentative="0">
      <w:start w:val="1"/>
      <w:numFmt w:val="decimal"/>
      <w:lvlText w:val="%1.%2.%3.%4"/>
      <w:lvlJc w:val="left"/>
      <w:pPr>
        <w:ind w:left="2880"/>
      </w:pPr>
      <w:rPr>
        <w:rFonts w:hint="default" w:ascii="Times New Roman" w:hAnsi="Times New Roman" w:cs="Times New Roman"/>
      </w:rPr>
    </w:lvl>
    <w:lvl w:ilvl="4" w:tentative="0">
      <w:start w:val="1"/>
      <w:numFmt w:val="decimal"/>
      <w:lvlText w:val="%1.%2.%3.%4.%5"/>
      <w:lvlJc w:val="left"/>
      <w:pPr>
        <w:ind w:left="3600"/>
      </w:pPr>
      <w:rPr>
        <w:rFonts w:hint="default" w:ascii="Times New Roman" w:hAnsi="Times New Roman" w:cs="Times New Roman"/>
      </w:rPr>
    </w:lvl>
    <w:lvl w:ilvl="5" w:tentative="0">
      <w:start w:val="1"/>
      <w:numFmt w:val="decimal"/>
      <w:lvlText w:val="%1.%2.%3.%4.%5.%6"/>
      <w:lvlJc w:val="left"/>
      <w:pPr>
        <w:ind w:left="4320"/>
      </w:pPr>
      <w:rPr>
        <w:rFonts w:hint="default" w:ascii="Times New Roman" w:hAnsi="Times New Roman" w:cs="Times New Roman"/>
      </w:rPr>
    </w:lvl>
    <w:lvl w:ilvl="6" w:tentative="0">
      <w:start w:val="1"/>
      <w:numFmt w:val="decimal"/>
      <w:lvlText w:val="%1.%2.%3.%4.%5.%6.%7"/>
      <w:lvlJc w:val="left"/>
      <w:pPr>
        <w:ind w:left="5040"/>
      </w:pPr>
      <w:rPr>
        <w:rFonts w:hint="default" w:ascii="Times New Roman" w:hAnsi="Times New Roman" w:cs="Times New Roman"/>
      </w:rPr>
    </w:lvl>
    <w:lvl w:ilvl="7" w:tentative="0">
      <w:start w:val="1"/>
      <w:numFmt w:val="decimal"/>
      <w:lvlText w:val="%1.%2.%3.%4.%5.%6.%7.%8"/>
      <w:lvlJc w:val="left"/>
      <w:pPr>
        <w:ind w:left="5760"/>
      </w:pPr>
      <w:rPr>
        <w:rFonts w:hint="default" w:ascii="Times New Roman" w:hAnsi="Times New Roman" w:cs="Times New Roman"/>
      </w:rPr>
    </w:lvl>
    <w:lvl w:ilvl="8" w:tentative="0">
      <w:start w:val="1"/>
      <w:numFmt w:val="decimal"/>
      <w:lvlText w:val="%1.%2.%3.%4.%5.%6.%7.%8.%9"/>
      <w:lvlJc w:val="left"/>
      <w:pPr>
        <w:ind w:left="6480"/>
      </w:pPr>
      <w:rPr>
        <w:rFonts w:hint="default" w:ascii="Times New Roman" w:hAnsi="Times New Roman" w:cs="Times New Roman"/>
      </w:rPr>
    </w:lvl>
  </w:abstractNum>
  <w:abstractNum w:abstractNumId="11">
    <w:nsid w:val="3D733618"/>
    <w:multiLevelType w:val="multilevel"/>
    <w:tmpl w:val="3D733618"/>
    <w:lvl w:ilvl="0" w:tentative="0">
      <w:start w:val="1"/>
      <w:numFmt w:val="decimal"/>
      <w:pStyle w:val="25"/>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2">
    <w:nsid w:val="4B733A5F"/>
    <w:multiLevelType w:val="multilevel"/>
    <w:tmpl w:val="4B733A5F"/>
    <w:lvl w:ilvl="0" w:tentative="0">
      <w:start w:val="1"/>
      <w:numFmt w:val="decimal"/>
      <w:pStyle w:val="62"/>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3">
    <w:nsid w:val="557C2AF5"/>
    <w:multiLevelType w:val="multilevel"/>
    <w:tmpl w:val="557C2AF5"/>
    <w:lvl w:ilvl="0" w:tentative="0">
      <w:start w:val="1"/>
      <w:numFmt w:val="decimal"/>
      <w:pStyle w:val="128"/>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4">
    <w:nsid w:val="60B55DC2"/>
    <w:multiLevelType w:val="multilevel"/>
    <w:tmpl w:val="60B55DC2"/>
    <w:lvl w:ilvl="0" w:tentative="0">
      <w:start w:val="1"/>
      <w:numFmt w:val="upperLetter"/>
      <w:pStyle w:val="86"/>
      <w:lvlText w:val="%1"/>
      <w:lvlJc w:val="left"/>
      <w:pPr>
        <w:tabs>
          <w:tab w:val="left" w:pos="0"/>
        </w:tabs>
        <w:ind w:left="0" w:hanging="425"/>
      </w:pPr>
      <w:rPr>
        <w:rFonts w:hint="eastAsia"/>
      </w:rPr>
    </w:lvl>
    <w:lvl w:ilvl="1" w:tentative="0">
      <w:start w:val="1"/>
      <w:numFmt w:val="decimal"/>
      <w:pStyle w:val="87"/>
      <w:suff w:val="nothing"/>
      <w:lvlText w:val="表%1.%2　"/>
      <w:lvlJc w:val="left"/>
      <w:pPr>
        <w:ind w:left="4962"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5">
    <w:nsid w:val="646260FA"/>
    <w:multiLevelType w:val="multilevel"/>
    <w:tmpl w:val="646260FA"/>
    <w:lvl w:ilvl="0" w:tentative="0">
      <w:start w:val="1"/>
      <w:numFmt w:val="decimal"/>
      <w:pStyle w:val="126"/>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57D3FBC"/>
    <w:multiLevelType w:val="multilevel"/>
    <w:tmpl w:val="657D3FBC"/>
    <w:lvl w:ilvl="0" w:tentative="0">
      <w:start w:val="1"/>
      <w:numFmt w:val="upperLetter"/>
      <w:pStyle w:val="84"/>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3"/>
      <w:suff w:val="nothing"/>
      <w:lvlText w:val="%1.%2.%3　"/>
      <w:lvlJc w:val="left"/>
      <w:pPr>
        <w:ind w:left="0" w:firstLine="0"/>
      </w:pPr>
      <w:rPr>
        <w:rFonts w:hint="eastAsia" w:ascii="黑体" w:hAnsi="Times New Roman" w:eastAsia="黑体"/>
        <w:b w:val="0"/>
        <w:i w:val="0"/>
        <w:sz w:val="21"/>
      </w:rPr>
    </w:lvl>
    <w:lvl w:ilvl="3" w:tentative="0">
      <w:start w:val="1"/>
      <w:numFmt w:val="decimal"/>
      <w:pStyle w:val="88"/>
      <w:suff w:val="nothing"/>
      <w:lvlText w:val="%1.%2.%3.%4　"/>
      <w:lvlJc w:val="left"/>
      <w:pPr>
        <w:ind w:left="0" w:firstLine="0"/>
      </w:pPr>
      <w:rPr>
        <w:rFonts w:hint="eastAsia" w:ascii="黑体" w:hAnsi="Times New Roman" w:eastAsia="黑体"/>
        <w:b w:val="0"/>
        <w:i w:val="0"/>
        <w:sz w:val="21"/>
      </w:rPr>
    </w:lvl>
    <w:lvl w:ilvl="4" w:tentative="0">
      <w:start w:val="1"/>
      <w:numFmt w:val="decimal"/>
      <w:pStyle w:val="93"/>
      <w:suff w:val="nothing"/>
      <w:lvlText w:val="%1.%2.%3.%4.%5　"/>
      <w:lvlJc w:val="left"/>
      <w:pPr>
        <w:ind w:left="0" w:firstLine="0"/>
      </w:pPr>
      <w:rPr>
        <w:rFonts w:hint="eastAsia" w:ascii="黑体" w:hAnsi="Times New Roman" w:eastAsia="黑体"/>
        <w:b w:val="0"/>
        <w:i w:val="0"/>
        <w:sz w:val="21"/>
      </w:rPr>
    </w:lvl>
    <w:lvl w:ilvl="5" w:tentative="0">
      <w:start w:val="1"/>
      <w:numFmt w:val="decimal"/>
      <w:pStyle w:val="96"/>
      <w:suff w:val="nothing"/>
      <w:lvlText w:val="%1.%2.%3.%4.%5.%6　"/>
      <w:lvlJc w:val="left"/>
      <w:pPr>
        <w:ind w:left="0" w:firstLine="0"/>
      </w:pPr>
      <w:rPr>
        <w:rFonts w:hint="eastAsia" w:ascii="黑体" w:hAnsi="Times New Roman" w:eastAsia="黑体"/>
        <w:b w:val="0"/>
        <w:i w:val="0"/>
        <w:sz w:val="21"/>
      </w:rPr>
    </w:lvl>
    <w:lvl w:ilvl="6" w:tentative="0">
      <w:start w:val="1"/>
      <w:numFmt w:val="decimal"/>
      <w:pStyle w:val="100"/>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7">
    <w:nsid w:val="6D6C07CD"/>
    <w:multiLevelType w:val="multilevel"/>
    <w:tmpl w:val="6D6C07CD"/>
    <w:lvl w:ilvl="0" w:tentative="0">
      <w:start w:val="1"/>
      <w:numFmt w:val="lowerLetter"/>
      <w:pStyle w:val="105"/>
      <w:lvlText w:val="%1)"/>
      <w:lvlJc w:val="left"/>
      <w:pPr>
        <w:tabs>
          <w:tab w:val="left" w:pos="839"/>
        </w:tabs>
        <w:ind w:left="839" w:hanging="419"/>
      </w:pPr>
      <w:rPr>
        <w:rFonts w:hint="eastAsia" w:ascii="宋体" w:eastAsia="宋体"/>
        <w:b w:val="0"/>
        <w:i w:val="0"/>
        <w:sz w:val="21"/>
      </w:rPr>
    </w:lvl>
    <w:lvl w:ilvl="1" w:tentative="0">
      <w:start w:val="1"/>
      <w:numFmt w:val="decimal"/>
      <w:pStyle w:val="95"/>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8">
    <w:nsid w:val="6DBF04F4"/>
    <w:multiLevelType w:val="multilevel"/>
    <w:tmpl w:val="6DBF04F4"/>
    <w:lvl w:ilvl="0" w:tentative="0">
      <w:start w:val="1"/>
      <w:numFmt w:val="none"/>
      <w:pStyle w:val="57"/>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9">
    <w:nsid w:val="71BF098B"/>
    <w:multiLevelType w:val="multilevel"/>
    <w:tmpl w:val="71BF098B"/>
    <w:lvl w:ilvl="0" w:tentative="0">
      <w:start w:val="1"/>
      <w:numFmt w:val="lowerLetter"/>
      <w:pStyle w:val="59"/>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4"/>
      <w:lvlText w:val="%2)"/>
      <w:lvlJc w:val="left"/>
      <w:pPr>
        <w:tabs>
          <w:tab w:val="left" w:pos="1260"/>
        </w:tabs>
        <w:ind w:left="1259" w:hanging="419"/>
      </w:pPr>
      <w:rPr>
        <w:rFonts w:hint="eastAsia"/>
      </w:rPr>
    </w:lvl>
    <w:lvl w:ilvl="2" w:tentative="0">
      <w:start w:val="1"/>
      <w:numFmt w:val="decimal"/>
      <w:pStyle w:val="61"/>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num w:numId="1">
    <w:abstractNumId w:val="11"/>
  </w:num>
  <w:num w:numId="2">
    <w:abstractNumId w:val="7"/>
  </w:num>
  <w:num w:numId="3">
    <w:abstractNumId w:val="9"/>
  </w:num>
  <w:num w:numId="4">
    <w:abstractNumId w:val="3"/>
  </w:num>
  <w:num w:numId="5">
    <w:abstractNumId w:val="19"/>
  </w:num>
  <w:num w:numId="6">
    <w:abstractNumId w:val="18"/>
  </w:num>
  <w:num w:numId="7">
    <w:abstractNumId w:val="1"/>
  </w:num>
  <w:num w:numId="8">
    <w:abstractNumId w:val="12"/>
  </w:num>
  <w:num w:numId="9">
    <w:abstractNumId w:val="6"/>
  </w:num>
  <w:num w:numId="10">
    <w:abstractNumId w:val="16"/>
  </w:num>
  <w:num w:numId="11">
    <w:abstractNumId w:val="14"/>
  </w:num>
  <w:num w:numId="12">
    <w:abstractNumId w:val="17"/>
  </w:num>
  <w:num w:numId="13">
    <w:abstractNumId w:val="8"/>
  </w:num>
  <w:num w:numId="14">
    <w:abstractNumId w:val="2"/>
  </w:num>
  <w:num w:numId="15">
    <w:abstractNumId w:val="5"/>
  </w:num>
  <w:num w:numId="16">
    <w:abstractNumId w:val="15"/>
  </w:num>
  <w:num w:numId="17">
    <w:abstractNumId w:val="13"/>
  </w:num>
  <w:num w:numId="18">
    <w:abstractNumId w:val="0"/>
  </w:num>
  <w:num w:numId="19">
    <w:abstractNumId w:val="4"/>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1YWNiYjRhZTQxM2ZhZjZkNzJhOGM0YjY3ZjMxNDIifQ=="/>
  </w:docVars>
  <w:rsids>
    <w:rsidRoot w:val="00CF6218"/>
    <w:rsid w:val="00000244"/>
    <w:rsid w:val="0000185F"/>
    <w:rsid w:val="0000586F"/>
    <w:rsid w:val="00013D86"/>
    <w:rsid w:val="00013E02"/>
    <w:rsid w:val="0002143C"/>
    <w:rsid w:val="00025A65"/>
    <w:rsid w:val="00026C31"/>
    <w:rsid w:val="00027280"/>
    <w:rsid w:val="00027804"/>
    <w:rsid w:val="000313CE"/>
    <w:rsid w:val="000320A7"/>
    <w:rsid w:val="00035925"/>
    <w:rsid w:val="00053F0C"/>
    <w:rsid w:val="00064AF2"/>
    <w:rsid w:val="00067CDF"/>
    <w:rsid w:val="00074FBE"/>
    <w:rsid w:val="0008229B"/>
    <w:rsid w:val="00083A09"/>
    <w:rsid w:val="00087F52"/>
    <w:rsid w:val="0009005E"/>
    <w:rsid w:val="00092857"/>
    <w:rsid w:val="000A20A9"/>
    <w:rsid w:val="000A48B1"/>
    <w:rsid w:val="000B3143"/>
    <w:rsid w:val="000C1B97"/>
    <w:rsid w:val="000C6B05"/>
    <w:rsid w:val="000C6DD6"/>
    <w:rsid w:val="000C73D4"/>
    <w:rsid w:val="000D3D4C"/>
    <w:rsid w:val="000D4F51"/>
    <w:rsid w:val="000D718B"/>
    <w:rsid w:val="000E0C46"/>
    <w:rsid w:val="000E4F1F"/>
    <w:rsid w:val="000F030C"/>
    <w:rsid w:val="000F129C"/>
    <w:rsid w:val="000F2512"/>
    <w:rsid w:val="001056DE"/>
    <w:rsid w:val="001124C0"/>
    <w:rsid w:val="00115969"/>
    <w:rsid w:val="0013175F"/>
    <w:rsid w:val="001512B4"/>
    <w:rsid w:val="001620A5"/>
    <w:rsid w:val="00164E53"/>
    <w:rsid w:val="0016699D"/>
    <w:rsid w:val="00175159"/>
    <w:rsid w:val="00176208"/>
    <w:rsid w:val="0018211B"/>
    <w:rsid w:val="001840D3"/>
    <w:rsid w:val="001900F8"/>
    <w:rsid w:val="00191258"/>
    <w:rsid w:val="00192680"/>
    <w:rsid w:val="00193037"/>
    <w:rsid w:val="00193A2C"/>
    <w:rsid w:val="001A288E"/>
    <w:rsid w:val="001B6DC2"/>
    <w:rsid w:val="001C114A"/>
    <w:rsid w:val="001C149C"/>
    <w:rsid w:val="001C21AC"/>
    <w:rsid w:val="001C47BA"/>
    <w:rsid w:val="001C59EA"/>
    <w:rsid w:val="001C7139"/>
    <w:rsid w:val="001D406C"/>
    <w:rsid w:val="001D41EE"/>
    <w:rsid w:val="001E0380"/>
    <w:rsid w:val="001E13B1"/>
    <w:rsid w:val="001F3A19"/>
    <w:rsid w:val="001F50FB"/>
    <w:rsid w:val="002048CE"/>
    <w:rsid w:val="00216293"/>
    <w:rsid w:val="00234467"/>
    <w:rsid w:val="00237D8D"/>
    <w:rsid w:val="00241DA2"/>
    <w:rsid w:val="00247FEE"/>
    <w:rsid w:val="00250E7D"/>
    <w:rsid w:val="002565D5"/>
    <w:rsid w:val="002622C0"/>
    <w:rsid w:val="00271F92"/>
    <w:rsid w:val="002778AE"/>
    <w:rsid w:val="0028269A"/>
    <w:rsid w:val="00283590"/>
    <w:rsid w:val="00284885"/>
    <w:rsid w:val="00286973"/>
    <w:rsid w:val="00294E70"/>
    <w:rsid w:val="002A1924"/>
    <w:rsid w:val="002A7420"/>
    <w:rsid w:val="002B0F12"/>
    <w:rsid w:val="002B1308"/>
    <w:rsid w:val="002B4554"/>
    <w:rsid w:val="002B4BD0"/>
    <w:rsid w:val="002C68F7"/>
    <w:rsid w:val="002C72D8"/>
    <w:rsid w:val="002D11FA"/>
    <w:rsid w:val="002E0DDF"/>
    <w:rsid w:val="002E1A92"/>
    <w:rsid w:val="002E2906"/>
    <w:rsid w:val="002E5635"/>
    <w:rsid w:val="002E64C3"/>
    <w:rsid w:val="002E66B9"/>
    <w:rsid w:val="002E6A2C"/>
    <w:rsid w:val="002F0466"/>
    <w:rsid w:val="002F1D8C"/>
    <w:rsid w:val="002F21DA"/>
    <w:rsid w:val="002F79BE"/>
    <w:rsid w:val="00301F39"/>
    <w:rsid w:val="0030259F"/>
    <w:rsid w:val="00325926"/>
    <w:rsid w:val="00327A8A"/>
    <w:rsid w:val="00327E09"/>
    <w:rsid w:val="00336610"/>
    <w:rsid w:val="00343F73"/>
    <w:rsid w:val="00345060"/>
    <w:rsid w:val="0035323B"/>
    <w:rsid w:val="00354EED"/>
    <w:rsid w:val="003609D2"/>
    <w:rsid w:val="00363F22"/>
    <w:rsid w:val="00375564"/>
    <w:rsid w:val="00377946"/>
    <w:rsid w:val="00381DA6"/>
    <w:rsid w:val="00383191"/>
    <w:rsid w:val="00386DED"/>
    <w:rsid w:val="003912E7"/>
    <w:rsid w:val="00393947"/>
    <w:rsid w:val="003A2275"/>
    <w:rsid w:val="003A6A4F"/>
    <w:rsid w:val="003A7088"/>
    <w:rsid w:val="003B00DF"/>
    <w:rsid w:val="003B1275"/>
    <w:rsid w:val="003B1778"/>
    <w:rsid w:val="003C11CB"/>
    <w:rsid w:val="003C75F3"/>
    <w:rsid w:val="003C78A3"/>
    <w:rsid w:val="003E1867"/>
    <w:rsid w:val="003E5729"/>
    <w:rsid w:val="003F3008"/>
    <w:rsid w:val="003F4EE0"/>
    <w:rsid w:val="00402153"/>
    <w:rsid w:val="00402FC1"/>
    <w:rsid w:val="004214A0"/>
    <w:rsid w:val="00425082"/>
    <w:rsid w:val="00431DEB"/>
    <w:rsid w:val="00443E02"/>
    <w:rsid w:val="00446B29"/>
    <w:rsid w:val="00453F9A"/>
    <w:rsid w:val="00471E91"/>
    <w:rsid w:val="00472BBF"/>
    <w:rsid w:val="00474675"/>
    <w:rsid w:val="0047470C"/>
    <w:rsid w:val="00490650"/>
    <w:rsid w:val="00495529"/>
    <w:rsid w:val="004A35F9"/>
    <w:rsid w:val="004A3A24"/>
    <w:rsid w:val="004B24C1"/>
    <w:rsid w:val="004C292F"/>
    <w:rsid w:val="004D607F"/>
    <w:rsid w:val="005061CF"/>
    <w:rsid w:val="00510280"/>
    <w:rsid w:val="00513354"/>
    <w:rsid w:val="00513D73"/>
    <w:rsid w:val="00514A43"/>
    <w:rsid w:val="005174E5"/>
    <w:rsid w:val="00522393"/>
    <w:rsid w:val="00522620"/>
    <w:rsid w:val="00522C34"/>
    <w:rsid w:val="00525656"/>
    <w:rsid w:val="00534C02"/>
    <w:rsid w:val="0054264B"/>
    <w:rsid w:val="00543786"/>
    <w:rsid w:val="00546C35"/>
    <w:rsid w:val="005533D7"/>
    <w:rsid w:val="005703DE"/>
    <w:rsid w:val="0058464E"/>
    <w:rsid w:val="0059105D"/>
    <w:rsid w:val="00591E0D"/>
    <w:rsid w:val="005A01CB"/>
    <w:rsid w:val="005A58FF"/>
    <w:rsid w:val="005A5EAF"/>
    <w:rsid w:val="005A64C0"/>
    <w:rsid w:val="005B3C11"/>
    <w:rsid w:val="005C1C28"/>
    <w:rsid w:val="005C6DB5"/>
    <w:rsid w:val="005C7781"/>
    <w:rsid w:val="005E19E7"/>
    <w:rsid w:val="005E5AFE"/>
    <w:rsid w:val="0061716C"/>
    <w:rsid w:val="006243A1"/>
    <w:rsid w:val="00630225"/>
    <w:rsid w:val="00632E56"/>
    <w:rsid w:val="00635CBA"/>
    <w:rsid w:val="0064338B"/>
    <w:rsid w:val="00646542"/>
    <w:rsid w:val="006504F4"/>
    <w:rsid w:val="00654BC9"/>
    <w:rsid w:val="006552FD"/>
    <w:rsid w:val="00663AF3"/>
    <w:rsid w:val="00666B6C"/>
    <w:rsid w:val="006760F8"/>
    <w:rsid w:val="00682682"/>
    <w:rsid w:val="00682702"/>
    <w:rsid w:val="00692368"/>
    <w:rsid w:val="006A2EBC"/>
    <w:rsid w:val="006A5EA0"/>
    <w:rsid w:val="006A6235"/>
    <w:rsid w:val="006A783B"/>
    <w:rsid w:val="006A7B33"/>
    <w:rsid w:val="006B4E13"/>
    <w:rsid w:val="006B75DD"/>
    <w:rsid w:val="006C67E0"/>
    <w:rsid w:val="006C77B7"/>
    <w:rsid w:val="006C7ABA"/>
    <w:rsid w:val="006D0D60"/>
    <w:rsid w:val="006D1122"/>
    <w:rsid w:val="006D3C00"/>
    <w:rsid w:val="006E3675"/>
    <w:rsid w:val="006E43D2"/>
    <w:rsid w:val="006E4A7F"/>
    <w:rsid w:val="007048A9"/>
    <w:rsid w:val="00704DF6"/>
    <w:rsid w:val="0070651C"/>
    <w:rsid w:val="007132A3"/>
    <w:rsid w:val="00716421"/>
    <w:rsid w:val="00724EFB"/>
    <w:rsid w:val="007419C3"/>
    <w:rsid w:val="007467A7"/>
    <w:rsid w:val="007469DD"/>
    <w:rsid w:val="0074741B"/>
    <w:rsid w:val="0074759E"/>
    <w:rsid w:val="007478EA"/>
    <w:rsid w:val="0075415C"/>
    <w:rsid w:val="00763502"/>
    <w:rsid w:val="007913AB"/>
    <w:rsid w:val="007914F7"/>
    <w:rsid w:val="007B13FB"/>
    <w:rsid w:val="007B1625"/>
    <w:rsid w:val="007B706E"/>
    <w:rsid w:val="007B71EB"/>
    <w:rsid w:val="007C4C0E"/>
    <w:rsid w:val="007C6205"/>
    <w:rsid w:val="007C686A"/>
    <w:rsid w:val="007C728E"/>
    <w:rsid w:val="007D1991"/>
    <w:rsid w:val="007D2C53"/>
    <w:rsid w:val="007D3D60"/>
    <w:rsid w:val="007D5C61"/>
    <w:rsid w:val="007E1980"/>
    <w:rsid w:val="007E4B76"/>
    <w:rsid w:val="007E4C81"/>
    <w:rsid w:val="007E5670"/>
    <w:rsid w:val="007E5EA8"/>
    <w:rsid w:val="007F0CF1"/>
    <w:rsid w:val="007F0EE5"/>
    <w:rsid w:val="007F12A5"/>
    <w:rsid w:val="007F4CF1"/>
    <w:rsid w:val="007F758D"/>
    <w:rsid w:val="007F7D52"/>
    <w:rsid w:val="0080654C"/>
    <w:rsid w:val="008071C6"/>
    <w:rsid w:val="00817A00"/>
    <w:rsid w:val="00835DB3"/>
    <w:rsid w:val="0083617B"/>
    <w:rsid w:val="008371BD"/>
    <w:rsid w:val="008504A8"/>
    <w:rsid w:val="008527E6"/>
    <w:rsid w:val="0085282E"/>
    <w:rsid w:val="008667A8"/>
    <w:rsid w:val="0087198C"/>
    <w:rsid w:val="00872C1F"/>
    <w:rsid w:val="00873B42"/>
    <w:rsid w:val="008856D8"/>
    <w:rsid w:val="00892E82"/>
    <w:rsid w:val="008A17C1"/>
    <w:rsid w:val="008A44B6"/>
    <w:rsid w:val="008C1B58"/>
    <w:rsid w:val="008C1F52"/>
    <w:rsid w:val="008C2B3B"/>
    <w:rsid w:val="008C39AE"/>
    <w:rsid w:val="008C590D"/>
    <w:rsid w:val="008D0D7D"/>
    <w:rsid w:val="008E031B"/>
    <w:rsid w:val="008E7029"/>
    <w:rsid w:val="008E7EF6"/>
    <w:rsid w:val="008F1F98"/>
    <w:rsid w:val="008F6758"/>
    <w:rsid w:val="009040DD"/>
    <w:rsid w:val="00905B47"/>
    <w:rsid w:val="00910A35"/>
    <w:rsid w:val="0091331C"/>
    <w:rsid w:val="009279DE"/>
    <w:rsid w:val="00930116"/>
    <w:rsid w:val="009310AA"/>
    <w:rsid w:val="009409F6"/>
    <w:rsid w:val="0094212C"/>
    <w:rsid w:val="00954689"/>
    <w:rsid w:val="009617C9"/>
    <w:rsid w:val="00961C93"/>
    <w:rsid w:val="00965324"/>
    <w:rsid w:val="0097091E"/>
    <w:rsid w:val="009760D3"/>
    <w:rsid w:val="00977132"/>
    <w:rsid w:val="00981A4B"/>
    <w:rsid w:val="00982501"/>
    <w:rsid w:val="009877D3"/>
    <w:rsid w:val="009879C4"/>
    <w:rsid w:val="00990108"/>
    <w:rsid w:val="00994E8F"/>
    <w:rsid w:val="009951DC"/>
    <w:rsid w:val="009959BB"/>
    <w:rsid w:val="00997158"/>
    <w:rsid w:val="009A3A7C"/>
    <w:rsid w:val="009B0F3C"/>
    <w:rsid w:val="009B2ADB"/>
    <w:rsid w:val="009B603A"/>
    <w:rsid w:val="009B79CB"/>
    <w:rsid w:val="009C2D0E"/>
    <w:rsid w:val="009C3DAC"/>
    <w:rsid w:val="009C42E0"/>
    <w:rsid w:val="009D5362"/>
    <w:rsid w:val="009E1415"/>
    <w:rsid w:val="009E6116"/>
    <w:rsid w:val="009E7CBC"/>
    <w:rsid w:val="00A02E43"/>
    <w:rsid w:val="00A03EAF"/>
    <w:rsid w:val="00A065F9"/>
    <w:rsid w:val="00A070C4"/>
    <w:rsid w:val="00A07F34"/>
    <w:rsid w:val="00A22154"/>
    <w:rsid w:val="00A25C38"/>
    <w:rsid w:val="00A36BBE"/>
    <w:rsid w:val="00A4307A"/>
    <w:rsid w:val="00A47EBB"/>
    <w:rsid w:val="00A51CDD"/>
    <w:rsid w:val="00A6730D"/>
    <w:rsid w:val="00A71625"/>
    <w:rsid w:val="00A71B9B"/>
    <w:rsid w:val="00A751C7"/>
    <w:rsid w:val="00A87844"/>
    <w:rsid w:val="00AA038C"/>
    <w:rsid w:val="00AA7A09"/>
    <w:rsid w:val="00AB3B50"/>
    <w:rsid w:val="00AC05B1"/>
    <w:rsid w:val="00AC101F"/>
    <w:rsid w:val="00AD356C"/>
    <w:rsid w:val="00AE2914"/>
    <w:rsid w:val="00AE5A93"/>
    <w:rsid w:val="00AE6D15"/>
    <w:rsid w:val="00AF29CC"/>
    <w:rsid w:val="00B04182"/>
    <w:rsid w:val="00B07AE3"/>
    <w:rsid w:val="00B10DA5"/>
    <w:rsid w:val="00B11430"/>
    <w:rsid w:val="00B353EB"/>
    <w:rsid w:val="00B439C4"/>
    <w:rsid w:val="00B4535E"/>
    <w:rsid w:val="00B51A86"/>
    <w:rsid w:val="00B52A8C"/>
    <w:rsid w:val="00B5424E"/>
    <w:rsid w:val="00B63525"/>
    <w:rsid w:val="00B636A8"/>
    <w:rsid w:val="00B665C6"/>
    <w:rsid w:val="00B805AF"/>
    <w:rsid w:val="00B85A2C"/>
    <w:rsid w:val="00B869EC"/>
    <w:rsid w:val="00B9397A"/>
    <w:rsid w:val="00B9633D"/>
    <w:rsid w:val="00BA2EBE"/>
    <w:rsid w:val="00BA3425"/>
    <w:rsid w:val="00BB0F28"/>
    <w:rsid w:val="00BB458A"/>
    <w:rsid w:val="00BD00D3"/>
    <w:rsid w:val="00BD05DA"/>
    <w:rsid w:val="00BD1659"/>
    <w:rsid w:val="00BD3AA9"/>
    <w:rsid w:val="00BD4A18"/>
    <w:rsid w:val="00BD6DB2"/>
    <w:rsid w:val="00BE11CF"/>
    <w:rsid w:val="00BE21AB"/>
    <w:rsid w:val="00BE55CB"/>
    <w:rsid w:val="00BF394D"/>
    <w:rsid w:val="00BF617A"/>
    <w:rsid w:val="00C0379D"/>
    <w:rsid w:val="00C03931"/>
    <w:rsid w:val="00C05FE3"/>
    <w:rsid w:val="00C2136D"/>
    <w:rsid w:val="00C214EE"/>
    <w:rsid w:val="00C2314B"/>
    <w:rsid w:val="00C24971"/>
    <w:rsid w:val="00C26BE5"/>
    <w:rsid w:val="00C26E4D"/>
    <w:rsid w:val="00C27909"/>
    <w:rsid w:val="00C27B03"/>
    <w:rsid w:val="00C314E1"/>
    <w:rsid w:val="00C31690"/>
    <w:rsid w:val="00C34397"/>
    <w:rsid w:val="00C36580"/>
    <w:rsid w:val="00C4095D"/>
    <w:rsid w:val="00C4754C"/>
    <w:rsid w:val="00C5585D"/>
    <w:rsid w:val="00C601D2"/>
    <w:rsid w:val="00C657AB"/>
    <w:rsid w:val="00C65BCC"/>
    <w:rsid w:val="00C66970"/>
    <w:rsid w:val="00C8691C"/>
    <w:rsid w:val="00C965FA"/>
    <w:rsid w:val="00CA168A"/>
    <w:rsid w:val="00CA357E"/>
    <w:rsid w:val="00CA44F9"/>
    <w:rsid w:val="00CA4A69"/>
    <w:rsid w:val="00CC3E0C"/>
    <w:rsid w:val="00CC58D3"/>
    <w:rsid w:val="00CC784D"/>
    <w:rsid w:val="00CF6218"/>
    <w:rsid w:val="00D0337B"/>
    <w:rsid w:val="00D047D8"/>
    <w:rsid w:val="00D079B2"/>
    <w:rsid w:val="00D114E9"/>
    <w:rsid w:val="00D429C6"/>
    <w:rsid w:val="00D43CC0"/>
    <w:rsid w:val="00D47748"/>
    <w:rsid w:val="00D54CC3"/>
    <w:rsid w:val="00D6041A"/>
    <w:rsid w:val="00D633EB"/>
    <w:rsid w:val="00D82FF7"/>
    <w:rsid w:val="00D847FE"/>
    <w:rsid w:val="00D964EA"/>
    <w:rsid w:val="00D966D0"/>
    <w:rsid w:val="00DA0C59"/>
    <w:rsid w:val="00DA3991"/>
    <w:rsid w:val="00DB27BF"/>
    <w:rsid w:val="00DB7E6C"/>
    <w:rsid w:val="00DC4526"/>
    <w:rsid w:val="00DD5A29"/>
    <w:rsid w:val="00DD5D9D"/>
    <w:rsid w:val="00DE35CB"/>
    <w:rsid w:val="00DF21E9"/>
    <w:rsid w:val="00DF5209"/>
    <w:rsid w:val="00E00F14"/>
    <w:rsid w:val="00E06386"/>
    <w:rsid w:val="00E07A4D"/>
    <w:rsid w:val="00E2233D"/>
    <w:rsid w:val="00E24EB4"/>
    <w:rsid w:val="00E320ED"/>
    <w:rsid w:val="00E33AFB"/>
    <w:rsid w:val="00E34218"/>
    <w:rsid w:val="00E46282"/>
    <w:rsid w:val="00E5150B"/>
    <w:rsid w:val="00E5216E"/>
    <w:rsid w:val="00E66680"/>
    <w:rsid w:val="00E76049"/>
    <w:rsid w:val="00E82344"/>
    <w:rsid w:val="00E83C6A"/>
    <w:rsid w:val="00E84C82"/>
    <w:rsid w:val="00E84D64"/>
    <w:rsid w:val="00E87408"/>
    <w:rsid w:val="00E91150"/>
    <w:rsid w:val="00E914C4"/>
    <w:rsid w:val="00E934F5"/>
    <w:rsid w:val="00E96961"/>
    <w:rsid w:val="00EA72EC"/>
    <w:rsid w:val="00EB11CB"/>
    <w:rsid w:val="00EB275A"/>
    <w:rsid w:val="00EB364B"/>
    <w:rsid w:val="00EB786A"/>
    <w:rsid w:val="00EC1578"/>
    <w:rsid w:val="00EC1C72"/>
    <w:rsid w:val="00EC3CC9"/>
    <w:rsid w:val="00EC4942"/>
    <w:rsid w:val="00EC680A"/>
    <w:rsid w:val="00ED3790"/>
    <w:rsid w:val="00ED381A"/>
    <w:rsid w:val="00EE2BED"/>
    <w:rsid w:val="00EE374B"/>
    <w:rsid w:val="00F11BB5"/>
    <w:rsid w:val="00F1417B"/>
    <w:rsid w:val="00F21F30"/>
    <w:rsid w:val="00F34B99"/>
    <w:rsid w:val="00F52DAB"/>
    <w:rsid w:val="00F543F0"/>
    <w:rsid w:val="00F73B63"/>
    <w:rsid w:val="00F81D29"/>
    <w:rsid w:val="00F91C4D"/>
    <w:rsid w:val="00F92FD9"/>
    <w:rsid w:val="00F97A63"/>
    <w:rsid w:val="00FA37BC"/>
    <w:rsid w:val="00FA6684"/>
    <w:rsid w:val="00FA731E"/>
    <w:rsid w:val="00FB2B38"/>
    <w:rsid w:val="00FC6358"/>
    <w:rsid w:val="00FC6B71"/>
    <w:rsid w:val="00FD320D"/>
    <w:rsid w:val="00FE23DE"/>
    <w:rsid w:val="02255AC0"/>
    <w:rsid w:val="0AF6588D"/>
    <w:rsid w:val="0AFA6E0F"/>
    <w:rsid w:val="17EB577E"/>
    <w:rsid w:val="19A136D1"/>
    <w:rsid w:val="1D3764AF"/>
    <w:rsid w:val="2297308F"/>
    <w:rsid w:val="23AE0B4E"/>
    <w:rsid w:val="257A13FB"/>
    <w:rsid w:val="6C5D1BCC"/>
    <w:rsid w:val="786E17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widowControl/>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link w:val="137"/>
    <w:qFormat/>
    <w:uiPriority w:val="9"/>
    <w:pPr>
      <w:keepNext/>
      <w:keepLines/>
      <w:spacing w:before="260" w:after="120" w:line="415" w:lineRule="auto"/>
      <w:outlineLvl w:val="1"/>
    </w:pPr>
    <w:rPr>
      <w:rFonts w:ascii="黑体" w:hAnsi="Arial" w:eastAsia="黑体"/>
      <w:b/>
      <w:bCs/>
      <w:sz w:val="30"/>
      <w:szCs w:val="30"/>
    </w:rPr>
  </w:style>
  <w:style w:type="paragraph" w:styleId="4">
    <w:name w:val="heading 3"/>
    <w:basedOn w:val="1"/>
    <w:next w:val="1"/>
    <w:semiHidden/>
    <w:unhideWhenUsed/>
    <w:qFormat/>
    <w:uiPriority w:val="0"/>
    <w:pPr>
      <w:widowControl/>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widowControl/>
      <w:spacing w:beforeAutospacing="1" w:afterAutospacing="1"/>
      <w:jc w:val="left"/>
      <w:outlineLvl w:val="3"/>
    </w:pPr>
    <w:rPr>
      <w:rFonts w:hint="eastAsia" w:ascii="宋体" w:hAnsi="宋体"/>
      <w:b/>
      <w:bCs/>
      <w:kern w:val="0"/>
      <w:sz w:val="24"/>
    </w:rPr>
  </w:style>
  <w:style w:type="character" w:default="1" w:styleId="35">
    <w:name w:val="Default Paragraph Font"/>
    <w:semiHidden/>
    <w:unhideWhenUsed/>
    <w:qFormat/>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6">
    <w:name w:val="toc 7"/>
    <w:basedOn w:val="1"/>
    <w:next w:val="1"/>
    <w:semiHidden/>
    <w:qFormat/>
    <w:uiPriority w:val="0"/>
    <w:pPr>
      <w:tabs>
        <w:tab w:val="right" w:leader="dot" w:pos="9241"/>
      </w:tabs>
      <w:ind w:firstLine="500" w:firstLineChars="500"/>
      <w:jc w:val="left"/>
    </w:pPr>
    <w:rPr>
      <w:rFonts w:ascii="宋体"/>
      <w:szCs w:val="21"/>
    </w:rPr>
  </w:style>
  <w:style w:type="paragraph" w:styleId="7">
    <w:name w:val="index 8"/>
    <w:basedOn w:val="1"/>
    <w:next w:val="1"/>
    <w:qFormat/>
    <w:uiPriority w:val="0"/>
    <w:pPr>
      <w:ind w:left="1680" w:hanging="210"/>
      <w:jc w:val="left"/>
    </w:pPr>
    <w:rPr>
      <w:rFonts w:ascii="Calibri" w:hAnsi="Calibri"/>
      <w:sz w:val="20"/>
      <w:szCs w:val="20"/>
    </w:rPr>
  </w:style>
  <w:style w:type="paragraph" w:styleId="8">
    <w:name w:val="caption"/>
    <w:basedOn w:val="1"/>
    <w:next w:val="1"/>
    <w:qFormat/>
    <w:uiPriority w:val="0"/>
    <w:pPr>
      <w:spacing w:before="152" w:after="160"/>
    </w:pPr>
    <w:rPr>
      <w:rFonts w:ascii="Arial" w:hAnsi="Arial" w:eastAsia="黑体" w:cs="Arial"/>
      <w:sz w:val="20"/>
      <w:szCs w:val="20"/>
    </w:rPr>
  </w:style>
  <w:style w:type="paragraph" w:styleId="9">
    <w:name w:val="index 5"/>
    <w:basedOn w:val="1"/>
    <w:next w:val="1"/>
    <w:qFormat/>
    <w:uiPriority w:val="0"/>
    <w:pPr>
      <w:ind w:left="1050" w:hanging="210"/>
      <w:jc w:val="left"/>
    </w:pPr>
    <w:rPr>
      <w:rFonts w:ascii="Calibri" w:hAnsi="Calibri"/>
      <w:sz w:val="20"/>
      <w:szCs w:val="20"/>
    </w:rPr>
  </w:style>
  <w:style w:type="paragraph" w:styleId="10">
    <w:name w:val="Document Map"/>
    <w:basedOn w:val="1"/>
    <w:semiHidden/>
    <w:qFormat/>
    <w:uiPriority w:val="0"/>
    <w:pPr>
      <w:shd w:val="clear" w:color="auto" w:fill="000080"/>
    </w:pPr>
  </w:style>
  <w:style w:type="paragraph" w:styleId="11">
    <w:name w:val="index 6"/>
    <w:basedOn w:val="1"/>
    <w:next w:val="1"/>
    <w:qFormat/>
    <w:uiPriority w:val="0"/>
    <w:pPr>
      <w:ind w:left="1260" w:hanging="210"/>
      <w:jc w:val="left"/>
    </w:pPr>
    <w:rPr>
      <w:rFonts w:ascii="Calibri" w:hAnsi="Calibri"/>
      <w:sz w:val="20"/>
      <w:szCs w:val="20"/>
    </w:rPr>
  </w:style>
  <w:style w:type="paragraph" w:styleId="12">
    <w:name w:val="index 4"/>
    <w:basedOn w:val="1"/>
    <w:next w:val="1"/>
    <w:qFormat/>
    <w:uiPriority w:val="0"/>
    <w:pPr>
      <w:ind w:left="840" w:hanging="210"/>
      <w:jc w:val="left"/>
    </w:pPr>
    <w:rPr>
      <w:rFonts w:ascii="Calibri" w:hAnsi="Calibri"/>
      <w:sz w:val="20"/>
      <w:szCs w:val="20"/>
    </w:rPr>
  </w:style>
  <w:style w:type="paragraph" w:styleId="13">
    <w:name w:val="toc 5"/>
    <w:basedOn w:val="1"/>
    <w:next w:val="1"/>
    <w:semiHidden/>
    <w:qFormat/>
    <w:uiPriority w:val="0"/>
    <w:pPr>
      <w:tabs>
        <w:tab w:val="right" w:leader="dot" w:pos="9241"/>
      </w:tabs>
      <w:ind w:firstLine="300" w:firstLineChars="300"/>
      <w:jc w:val="left"/>
    </w:pPr>
    <w:rPr>
      <w:rFonts w:ascii="宋体"/>
      <w:szCs w:val="21"/>
    </w:rPr>
  </w:style>
  <w:style w:type="paragraph" w:styleId="14">
    <w:name w:val="toc 3"/>
    <w:basedOn w:val="1"/>
    <w:next w:val="1"/>
    <w:semiHidden/>
    <w:qFormat/>
    <w:uiPriority w:val="0"/>
    <w:pPr>
      <w:tabs>
        <w:tab w:val="right" w:leader="dot" w:pos="9241"/>
      </w:tabs>
      <w:ind w:firstLine="100" w:firstLineChars="100"/>
      <w:jc w:val="left"/>
    </w:pPr>
    <w:rPr>
      <w:rFonts w:ascii="宋体"/>
      <w:szCs w:val="21"/>
    </w:rPr>
  </w:style>
  <w:style w:type="paragraph" w:styleId="15">
    <w:name w:val="toc 8"/>
    <w:basedOn w:val="1"/>
    <w:next w:val="1"/>
    <w:semiHidden/>
    <w:qFormat/>
    <w:uiPriority w:val="0"/>
    <w:pPr>
      <w:tabs>
        <w:tab w:val="right" w:leader="dot" w:pos="9241"/>
      </w:tabs>
      <w:ind w:firstLine="607" w:firstLineChars="600"/>
      <w:jc w:val="left"/>
    </w:pPr>
    <w:rPr>
      <w:rFonts w:ascii="宋体"/>
      <w:szCs w:val="21"/>
    </w:rPr>
  </w:style>
  <w:style w:type="paragraph" w:styleId="16">
    <w:name w:val="index 3"/>
    <w:basedOn w:val="1"/>
    <w:next w:val="1"/>
    <w:qFormat/>
    <w:uiPriority w:val="0"/>
    <w:pPr>
      <w:ind w:left="630" w:hanging="210"/>
      <w:jc w:val="left"/>
    </w:pPr>
    <w:rPr>
      <w:rFonts w:ascii="Calibri" w:hAnsi="Calibri"/>
      <w:sz w:val="20"/>
      <w:szCs w:val="20"/>
    </w:rPr>
  </w:style>
  <w:style w:type="paragraph" w:styleId="17">
    <w:name w:val="endnote text"/>
    <w:basedOn w:val="1"/>
    <w:semiHidden/>
    <w:qFormat/>
    <w:uiPriority w:val="0"/>
    <w:pPr>
      <w:snapToGrid w:val="0"/>
      <w:jc w:val="left"/>
    </w:pPr>
  </w:style>
  <w:style w:type="paragraph" w:styleId="18">
    <w:name w:val="footer"/>
    <w:basedOn w:val="1"/>
    <w:qFormat/>
    <w:uiPriority w:val="0"/>
    <w:pPr>
      <w:snapToGrid w:val="0"/>
      <w:ind w:right="210" w:rightChars="100"/>
      <w:jc w:val="right"/>
    </w:pPr>
    <w:rPr>
      <w:sz w:val="18"/>
      <w:szCs w:val="18"/>
    </w:rPr>
  </w:style>
  <w:style w:type="paragraph" w:styleId="19">
    <w:name w:val="header"/>
    <w:basedOn w:val="1"/>
    <w:qFormat/>
    <w:uiPriority w:val="0"/>
    <w:pPr>
      <w:snapToGrid w:val="0"/>
      <w:jc w:val="left"/>
    </w:pPr>
    <w:rPr>
      <w:sz w:val="18"/>
      <w:szCs w:val="18"/>
    </w:rPr>
  </w:style>
  <w:style w:type="paragraph" w:styleId="20">
    <w:name w:val="toc 1"/>
    <w:basedOn w:val="1"/>
    <w:next w:val="1"/>
    <w:semiHidden/>
    <w:qFormat/>
    <w:uiPriority w:val="0"/>
    <w:pPr>
      <w:tabs>
        <w:tab w:val="right" w:leader="dot" w:pos="9242"/>
      </w:tabs>
      <w:spacing w:beforeLines="25" w:afterLines="25"/>
      <w:jc w:val="left"/>
    </w:pPr>
    <w:rPr>
      <w:rFonts w:ascii="宋体"/>
      <w:szCs w:val="21"/>
    </w:rPr>
  </w:style>
  <w:style w:type="paragraph" w:styleId="21">
    <w:name w:val="toc 4"/>
    <w:basedOn w:val="1"/>
    <w:next w:val="1"/>
    <w:semiHidden/>
    <w:qFormat/>
    <w:uiPriority w:val="0"/>
    <w:pPr>
      <w:tabs>
        <w:tab w:val="right" w:leader="dot" w:pos="9241"/>
      </w:tabs>
      <w:ind w:firstLine="200" w:firstLineChars="200"/>
      <w:jc w:val="left"/>
    </w:pPr>
    <w:rPr>
      <w:rFonts w:ascii="宋体"/>
      <w:szCs w:val="21"/>
    </w:rPr>
  </w:style>
  <w:style w:type="paragraph" w:styleId="22">
    <w:name w:val="index heading"/>
    <w:basedOn w:val="1"/>
    <w:next w:val="23"/>
    <w:qFormat/>
    <w:uiPriority w:val="0"/>
    <w:pPr>
      <w:spacing w:before="120" w:after="120"/>
      <w:jc w:val="center"/>
    </w:pPr>
    <w:rPr>
      <w:rFonts w:ascii="Calibri" w:hAnsi="Calibri"/>
      <w:b/>
      <w:bCs/>
      <w:iCs/>
      <w:szCs w:val="20"/>
    </w:rPr>
  </w:style>
  <w:style w:type="paragraph" w:styleId="23">
    <w:name w:val="index 1"/>
    <w:basedOn w:val="1"/>
    <w:next w:val="24"/>
    <w:qFormat/>
    <w:uiPriority w:val="0"/>
    <w:pPr>
      <w:tabs>
        <w:tab w:val="right" w:leader="dot" w:pos="9299"/>
      </w:tabs>
      <w:jc w:val="left"/>
    </w:pPr>
    <w:rPr>
      <w:rFonts w:ascii="宋体"/>
      <w:szCs w:val="21"/>
    </w:rPr>
  </w:style>
  <w:style w:type="paragraph" w:customStyle="1" w:styleId="24">
    <w:name w:val="段"/>
    <w:link w:val="4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5">
    <w:name w:val="footnote text"/>
    <w:basedOn w:val="1"/>
    <w:qFormat/>
    <w:uiPriority w:val="0"/>
    <w:pPr>
      <w:numPr>
        <w:ilvl w:val="0"/>
        <w:numId w:val="1"/>
      </w:numPr>
      <w:snapToGrid w:val="0"/>
      <w:jc w:val="left"/>
    </w:pPr>
    <w:rPr>
      <w:rFonts w:ascii="宋体"/>
      <w:sz w:val="18"/>
      <w:szCs w:val="18"/>
    </w:rPr>
  </w:style>
  <w:style w:type="paragraph" w:styleId="26">
    <w:name w:val="toc 6"/>
    <w:basedOn w:val="1"/>
    <w:next w:val="1"/>
    <w:semiHidden/>
    <w:qFormat/>
    <w:uiPriority w:val="0"/>
    <w:pPr>
      <w:tabs>
        <w:tab w:val="right" w:leader="dot" w:pos="9241"/>
      </w:tabs>
      <w:ind w:firstLine="400" w:firstLineChars="400"/>
      <w:jc w:val="left"/>
    </w:pPr>
    <w:rPr>
      <w:rFonts w:ascii="宋体"/>
      <w:szCs w:val="21"/>
    </w:rPr>
  </w:style>
  <w:style w:type="paragraph" w:styleId="27">
    <w:name w:val="index 7"/>
    <w:basedOn w:val="1"/>
    <w:next w:val="1"/>
    <w:qFormat/>
    <w:uiPriority w:val="0"/>
    <w:pPr>
      <w:ind w:left="1470" w:hanging="210"/>
      <w:jc w:val="left"/>
    </w:pPr>
    <w:rPr>
      <w:rFonts w:ascii="Calibri" w:hAnsi="Calibri"/>
      <w:sz w:val="20"/>
      <w:szCs w:val="20"/>
    </w:rPr>
  </w:style>
  <w:style w:type="paragraph" w:styleId="28">
    <w:name w:val="index 9"/>
    <w:basedOn w:val="1"/>
    <w:next w:val="1"/>
    <w:qFormat/>
    <w:uiPriority w:val="0"/>
    <w:pPr>
      <w:ind w:left="1890" w:hanging="210"/>
      <w:jc w:val="left"/>
    </w:pPr>
    <w:rPr>
      <w:rFonts w:ascii="Calibri" w:hAnsi="Calibri"/>
      <w:sz w:val="20"/>
      <w:szCs w:val="20"/>
    </w:rPr>
  </w:style>
  <w:style w:type="paragraph" w:styleId="29">
    <w:name w:val="toc 2"/>
    <w:basedOn w:val="1"/>
    <w:next w:val="1"/>
    <w:semiHidden/>
    <w:qFormat/>
    <w:uiPriority w:val="0"/>
    <w:pPr>
      <w:tabs>
        <w:tab w:val="right" w:leader="dot" w:pos="9242"/>
      </w:tabs>
    </w:pPr>
    <w:rPr>
      <w:rFonts w:ascii="宋体"/>
      <w:szCs w:val="21"/>
    </w:rPr>
  </w:style>
  <w:style w:type="paragraph" w:styleId="30">
    <w:name w:val="toc 9"/>
    <w:basedOn w:val="1"/>
    <w:next w:val="1"/>
    <w:semiHidden/>
    <w:qFormat/>
    <w:uiPriority w:val="0"/>
    <w:pPr>
      <w:ind w:left="1470"/>
      <w:jc w:val="left"/>
    </w:pPr>
    <w:rPr>
      <w:sz w:val="20"/>
      <w:szCs w:val="20"/>
    </w:rPr>
  </w:style>
  <w:style w:type="paragraph" w:styleId="31">
    <w:name w:val="Normal (Web)"/>
    <w:basedOn w:val="1"/>
    <w:qFormat/>
    <w:uiPriority w:val="0"/>
    <w:rPr>
      <w:sz w:val="24"/>
    </w:rPr>
  </w:style>
  <w:style w:type="paragraph" w:styleId="32">
    <w:name w:val="index 2"/>
    <w:basedOn w:val="1"/>
    <w:next w:val="1"/>
    <w:qFormat/>
    <w:uiPriority w:val="0"/>
    <w:pPr>
      <w:ind w:left="420" w:hanging="210"/>
      <w:jc w:val="left"/>
    </w:pPr>
    <w:rPr>
      <w:rFonts w:ascii="Calibri" w:hAnsi="Calibri"/>
      <w:sz w:val="20"/>
      <w:szCs w:val="20"/>
    </w:rPr>
  </w:style>
  <w:style w:type="table" w:styleId="34">
    <w:name w:val="Table Grid"/>
    <w:basedOn w:val="33"/>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6">
    <w:name w:val="endnote reference"/>
    <w:basedOn w:val="35"/>
    <w:semiHidden/>
    <w:qFormat/>
    <w:uiPriority w:val="0"/>
    <w:rPr>
      <w:vertAlign w:val="superscript"/>
    </w:rPr>
  </w:style>
  <w:style w:type="character" w:styleId="37">
    <w:name w:val="page number"/>
    <w:basedOn w:val="35"/>
    <w:qFormat/>
    <w:uiPriority w:val="0"/>
    <w:rPr>
      <w:rFonts w:ascii="Times New Roman" w:hAnsi="Times New Roman" w:eastAsia="宋体"/>
      <w:sz w:val="18"/>
    </w:rPr>
  </w:style>
  <w:style w:type="character" w:styleId="38">
    <w:name w:val="FollowedHyperlink"/>
    <w:basedOn w:val="35"/>
    <w:qFormat/>
    <w:uiPriority w:val="0"/>
    <w:rPr>
      <w:color w:val="800080"/>
      <w:u w:val="single"/>
    </w:rPr>
  </w:style>
  <w:style w:type="character" w:styleId="39">
    <w:name w:val="Hyperlink"/>
    <w:basedOn w:val="35"/>
    <w:qFormat/>
    <w:uiPriority w:val="0"/>
    <w:rPr>
      <w:color w:val="0000FF"/>
      <w:spacing w:val="0"/>
      <w:w w:val="100"/>
      <w:szCs w:val="21"/>
      <w:u w:val="single"/>
    </w:rPr>
  </w:style>
  <w:style w:type="character" w:styleId="40">
    <w:name w:val="footnote reference"/>
    <w:basedOn w:val="35"/>
    <w:semiHidden/>
    <w:qFormat/>
    <w:uiPriority w:val="0"/>
    <w:rPr>
      <w:vertAlign w:val="superscript"/>
    </w:rPr>
  </w:style>
  <w:style w:type="character" w:customStyle="1" w:styleId="41">
    <w:name w:val="段 Char"/>
    <w:basedOn w:val="35"/>
    <w:link w:val="24"/>
    <w:qFormat/>
    <w:uiPriority w:val="0"/>
    <w:rPr>
      <w:rFonts w:ascii="宋体"/>
      <w:sz w:val="21"/>
      <w:lang w:val="en-US" w:eastAsia="zh-CN" w:bidi="ar-SA"/>
    </w:rPr>
  </w:style>
  <w:style w:type="paragraph" w:customStyle="1" w:styleId="42">
    <w:name w:val="一级条标题"/>
    <w:next w:val="24"/>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43">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4">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5">
    <w:name w:val="章标题"/>
    <w:next w:val="24"/>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46">
    <w:name w:val="二级条标题"/>
    <w:basedOn w:val="42"/>
    <w:next w:val="24"/>
    <w:qFormat/>
    <w:uiPriority w:val="0"/>
    <w:pPr>
      <w:numPr>
        <w:ilvl w:val="2"/>
      </w:numPr>
      <w:spacing w:before="50" w:after="50"/>
      <w:outlineLvl w:val="3"/>
    </w:pPr>
  </w:style>
  <w:style w:type="paragraph" w:customStyle="1" w:styleId="47">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8">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49">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0">
    <w:name w:val="目次、标准名称标题"/>
    <w:basedOn w:val="1"/>
    <w:next w:val="2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1">
    <w:name w:val="三级条标题"/>
    <w:basedOn w:val="46"/>
    <w:next w:val="24"/>
    <w:qFormat/>
    <w:uiPriority w:val="0"/>
    <w:pPr>
      <w:numPr>
        <w:ilvl w:val="3"/>
      </w:numPr>
      <w:outlineLvl w:val="4"/>
    </w:pPr>
  </w:style>
  <w:style w:type="paragraph" w:customStyle="1" w:styleId="52">
    <w:name w:val="示例"/>
    <w:next w:val="53"/>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3">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4">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5">
    <w:name w:val="四级条标题"/>
    <w:basedOn w:val="51"/>
    <w:next w:val="24"/>
    <w:qFormat/>
    <w:uiPriority w:val="0"/>
    <w:pPr>
      <w:numPr>
        <w:ilvl w:val="4"/>
      </w:numPr>
      <w:outlineLvl w:val="5"/>
    </w:pPr>
  </w:style>
  <w:style w:type="paragraph" w:customStyle="1" w:styleId="56">
    <w:name w:val="五级条标题"/>
    <w:basedOn w:val="55"/>
    <w:next w:val="24"/>
    <w:qFormat/>
    <w:uiPriority w:val="0"/>
    <w:pPr>
      <w:numPr>
        <w:ilvl w:val="5"/>
      </w:numPr>
      <w:outlineLvl w:val="6"/>
    </w:pPr>
  </w:style>
  <w:style w:type="paragraph" w:customStyle="1" w:styleId="57">
    <w:name w:val="注："/>
    <w:next w:val="24"/>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58">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59">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60">
    <w:name w:val="列项◆（三级）"/>
    <w:basedOn w:val="1"/>
    <w:qFormat/>
    <w:uiPriority w:val="0"/>
    <w:pPr>
      <w:numPr>
        <w:ilvl w:val="2"/>
        <w:numId w:val="3"/>
      </w:numPr>
    </w:pPr>
    <w:rPr>
      <w:rFonts w:ascii="宋体"/>
      <w:szCs w:val="21"/>
    </w:rPr>
  </w:style>
  <w:style w:type="paragraph" w:customStyle="1" w:styleId="61">
    <w:name w:val="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62">
    <w:name w:val="示例×："/>
    <w:basedOn w:val="45"/>
    <w:qFormat/>
    <w:uiPriority w:val="0"/>
    <w:pPr>
      <w:numPr>
        <w:numId w:val="8"/>
      </w:numPr>
      <w:spacing w:beforeLines="0" w:afterLines="0"/>
      <w:outlineLvl w:val="9"/>
    </w:pPr>
    <w:rPr>
      <w:rFonts w:ascii="宋体" w:eastAsia="宋体"/>
      <w:sz w:val="18"/>
      <w:szCs w:val="18"/>
    </w:rPr>
  </w:style>
  <w:style w:type="paragraph" w:customStyle="1" w:styleId="63">
    <w:name w:val="二级无"/>
    <w:basedOn w:val="46"/>
    <w:qFormat/>
    <w:uiPriority w:val="0"/>
    <w:pPr>
      <w:spacing w:beforeLines="0" w:afterLines="0"/>
    </w:pPr>
    <w:rPr>
      <w:rFonts w:ascii="宋体" w:eastAsia="宋体"/>
    </w:rPr>
  </w:style>
  <w:style w:type="paragraph" w:customStyle="1" w:styleId="64">
    <w:name w:val="注：（正文）"/>
    <w:basedOn w:val="57"/>
    <w:next w:val="24"/>
    <w:qFormat/>
    <w:uiPriority w:val="0"/>
  </w:style>
  <w:style w:type="paragraph" w:customStyle="1" w:styleId="65">
    <w:name w:val="注×：（正文）"/>
    <w:qFormat/>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66">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7">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8">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69">
    <w:name w:val="标准书眉_偶数页"/>
    <w:basedOn w:val="44"/>
    <w:next w:val="1"/>
    <w:qFormat/>
    <w:uiPriority w:val="0"/>
    <w:pPr>
      <w:jc w:val="left"/>
    </w:pPr>
  </w:style>
  <w:style w:type="paragraph" w:customStyle="1" w:styleId="70">
    <w:name w:val="标准书眉一"/>
    <w:qFormat/>
    <w:uiPriority w:val="0"/>
    <w:pPr>
      <w:jc w:val="both"/>
    </w:pPr>
    <w:rPr>
      <w:rFonts w:ascii="Times New Roman" w:hAnsi="Times New Roman" w:eastAsia="宋体" w:cs="Times New Roman"/>
      <w:lang w:val="en-US" w:eastAsia="zh-CN" w:bidi="ar-SA"/>
    </w:rPr>
  </w:style>
  <w:style w:type="paragraph" w:customStyle="1" w:styleId="71">
    <w:name w:val="参考文献"/>
    <w:basedOn w:val="1"/>
    <w:next w:val="2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2">
    <w:name w:val="参考文献、索引标题"/>
    <w:basedOn w:val="1"/>
    <w:next w:val="24"/>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3">
    <w:name w:val="发布"/>
    <w:basedOn w:val="35"/>
    <w:qFormat/>
    <w:uiPriority w:val="0"/>
    <w:rPr>
      <w:rFonts w:ascii="黑体" w:eastAsia="黑体"/>
      <w:spacing w:val="85"/>
      <w:w w:val="100"/>
      <w:position w:val="3"/>
      <w:sz w:val="28"/>
      <w:szCs w:val="28"/>
    </w:rPr>
  </w:style>
  <w:style w:type="paragraph" w:customStyle="1" w:styleId="74">
    <w:name w:val="发布部门"/>
    <w:next w:val="24"/>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5">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6">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7">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8">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9">
    <w:name w:val="封面标准英文名称"/>
    <w:basedOn w:val="78"/>
    <w:qFormat/>
    <w:uiPriority w:val="0"/>
    <w:pPr>
      <w:framePr w:wrap="around"/>
      <w:spacing w:before="370" w:line="400" w:lineRule="exact"/>
    </w:pPr>
    <w:rPr>
      <w:rFonts w:ascii="Times New Roman"/>
      <w:sz w:val="28"/>
      <w:szCs w:val="28"/>
    </w:rPr>
  </w:style>
  <w:style w:type="paragraph" w:customStyle="1" w:styleId="80">
    <w:name w:val="封面一致性程度标识"/>
    <w:basedOn w:val="79"/>
    <w:qFormat/>
    <w:uiPriority w:val="0"/>
    <w:pPr>
      <w:framePr w:wrap="around"/>
      <w:spacing w:before="440"/>
    </w:pPr>
    <w:rPr>
      <w:rFonts w:ascii="宋体" w:eastAsia="宋体"/>
    </w:rPr>
  </w:style>
  <w:style w:type="paragraph" w:customStyle="1" w:styleId="81">
    <w:name w:val="封面标准文稿类别"/>
    <w:basedOn w:val="80"/>
    <w:qFormat/>
    <w:uiPriority w:val="0"/>
    <w:pPr>
      <w:framePr w:wrap="around"/>
      <w:spacing w:after="160" w:line="240" w:lineRule="auto"/>
    </w:pPr>
    <w:rPr>
      <w:sz w:val="24"/>
    </w:rPr>
  </w:style>
  <w:style w:type="paragraph" w:customStyle="1" w:styleId="82">
    <w:name w:val="封面标准文稿编辑信息"/>
    <w:basedOn w:val="81"/>
    <w:qFormat/>
    <w:uiPriority w:val="0"/>
    <w:pPr>
      <w:framePr w:wrap="around"/>
      <w:spacing w:before="180" w:line="180" w:lineRule="exact"/>
    </w:pPr>
    <w:rPr>
      <w:sz w:val="21"/>
    </w:rPr>
  </w:style>
  <w:style w:type="paragraph" w:customStyle="1" w:styleId="83">
    <w:name w:val="封面正文"/>
    <w:qFormat/>
    <w:uiPriority w:val="0"/>
    <w:pPr>
      <w:jc w:val="both"/>
    </w:pPr>
    <w:rPr>
      <w:rFonts w:ascii="Times New Roman" w:hAnsi="Times New Roman" w:eastAsia="宋体" w:cs="Times New Roman"/>
      <w:lang w:val="en-US" w:eastAsia="zh-CN" w:bidi="ar-SA"/>
    </w:rPr>
  </w:style>
  <w:style w:type="paragraph" w:customStyle="1" w:styleId="84">
    <w:name w:val="附录标识"/>
    <w:basedOn w:val="1"/>
    <w:next w:val="24"/>
    <w:qFormat/>
    <w:uiPriority w:val="0"/>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5">
    <w:name w:val="附录标题"/>
    <w:basedOn w:val="24"/>
    <w:next w:val="24"/>
    <w:qFormat/>
    <w:uiPriority w:val="0"/>
    <w:pPr>
      <w:ind w:firstLine="0" w:firstLineChars="0"/>
      <w:jc w:val="center"/>
    </w:pPr>
    <w:rPr>
      <w:rFonts w:ascii="黑体" w:eastAsia="黑体"/>
    </w:rPr>
  </w:style>
  <w:style w:type="paragraph" w:customStyle="1" w:styleId="86">
    <w:name w:val="附录表标号"/>
    <w:basedOn w:val="1"/>
    <w:next w:val="24"/>
    <w:qFormat/>
    <w:uiPriority w:val="0"/>
    <w:pPr>
      <w:numPr>
        <w:ilvl w:val="0"/>
        <w:numId w:val="11"/>
      </w:numPr>
      <w:tabs>
        <w:tab w:val="clear" w:pos="0"/>
      </w:tabs>
      <w:spacing w:line="14" w:lineRule="exact"/>
      <w:ind w:left="811" w:hanging="448"/>
      <w:jc w:val="center"/>
      <w:outlineLvl w:val="0"/>
    </w:pPr>
    <w:rPr>
      <w:color w:val="FFFFFF"/>
    </w:rPr>
  </w:style>
  <w:style w:type="paragraph" w:customStyle="1" w:styleId="87">
    <w:name w:val="附录表标题"/>
    <w:basedOn w:val="1"/>
    <w:next w:val="24"/>
    <w:qFormat/>
    <w:uiPriority w:val="0"/>
    <w:pPr>
      <w:numPr>
        <w:ilvl w:val="1"/>
        <w:numId w:val="11"/>
      </w:numPr>
      <w:tabs>
        <w:tab w:val="left" w:pos="180"/>
      </w:tabs>
      <w:spacing w:beforeLines="50" w:afterLines="50"/>
      <w:ind w:left="0" w:firstLine="0"/>
      <w:jc w:val="center"/>
    </w:pPr>
    <w:rPr>
      <w:rFonts w:ascii="黑体" w:eastAsia="黑体"/>
      <w:szCs w:val="21"/>
    </w:rPr>
  </w:style>
  <w:style w:type="paragraph" w:customStyle="1" w:styleId="88">
    <w:name w:val="附录二级条标题"/>
    <w:basedOn w:val="1"/>
    <w:next w:val="24"/>
    <w:qFormat/>
    <w:uiPriority w:val="0"/>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89">
    <w:name w:val="附录二级无"/>
    <w:basedOn w:val="88"/>
    <w:qFormat/>
    <w:uiPriority w:val="0"/>
    <w:pPr>
      <w:tabs>
        <w:tab w:val="clear" w:pos="360"/>
      </w:tabs>
      <w:spacing w:beforeLines="0" w:afterLines="0"/>
    </w:pPr>
    <w:rPr>
      <w:rFonts w:ascii="宋体" w:eastAsia="宋体"/>
      <w:szCs w:val="21"/>
    </w:rPr>
  </w:style>
  <w:style w:type="paragraph" w:customStyle="1" w:styleId="90">
    <w:name w:val="附录公式"/>
    <w:basedOn w:val="24"/>
    <w:next w:val="24"/>
    <w:link w:val="91"/>
    <w:qFormat/>
    <w:uiPriority w:val="0"/>
  </w:style>
  <w:style w:type="character" w:customStyle="1" w:styleId="91">
    <w:name w:val="附录公式 Char"/>
    <w:basedOn w:val="41"/>
    <w:link w:val="90"/>
    <w:qFormat/>
    <w:uiPriority w:val="0"/>
    <w:rPr>
      <w:rFonts w:ascii="宋体"/>
      <w:sz w:val="21"/>
      <w:lang w:val="en-US" w:eastAsia="zh-CN" w:bidi="ar-SA"/>
    </w:rPr>
  </w:style>
  <w:style w:type="paragraph" w:customStyle="1" w:styleId="92">
    <w:name w:val="附录公式编号制表符"/>
    <w:basedOn w:val="1"/>
    <w:next w:val="24"/>
    <w:qFormat/>
    <w:uiPriority w:val="0"/>
    <w:pPr>
      <w:widowControl/>
      <w:tabs>
        <w:tab w:val="center" w:pos="4201"/>
        <w:tab w:val="right" w:leader="dot" w:pos="9298"/>
      </w:tabs>
      <w:autoSpaceDE w:val="0"/>
      <w:autoSpaceDN w:val="0"/>
    </w:pPr>
    <w:rPr>
      <w:rFonts w:ascii="宋体"/>
      <w:kern w:val="0"/>
      <w:szCs w:val="20"/>
    </w:rPr>
  </w:style>
  <w:style w:type="paragraph" w:customStyle="1" w:styleId="93">
    <w:name w:val="附录三级条标题"/>
    <w:basedOn w:val="88"/>
    <w:next w:val="24"/>
    <w:qFormat/>
    <w:uiPriority w:val="0"/>
    <w:pPr>
      <w:numPr>
        <w:ilvl w:val="4"/>
      </w:numPr>
      <w:outlineLvl w:val="4"/>
    </w:pPr>
  </w:style>
  <w:style w:type="paragraph" w:customStyle="1" w:styleId="94">
    <w:name w:val="附录三级无"/>
    <w:basedOn w:val="93"/>
    <w:qFormat/>
    <w:uiPriority w:val="0"/>
    <w:pPr>
      <w:tabs>
        <w:tab w:val="clear" w:pos="360"/>
      </w:tabs>
      <w:spacing w:beforeLines="0" w:afterLines="0"/>
    </w:pPr>
    <w:rPr>
      <w:rFonts w:ascii="宋体" w:eastAsia="宋体"/>
      <w:szCs w:val="21"/>
    </w:rPr>
  </w:style>
  <w:style w:type="paragraph" w:customStyle="1" w:styleId="95">
    <w:name w:val="附录数字编号列项（二级）"/>
    <w:qFormat/>
    <w:uiPriority w:val="0"/>
    <w:pPr>
      <w:numPr>
        <w:ilvl w:val="1"/>
        <w:numId w:val="12"/>
      </w:numPr>
    </w:pPr>
    <w:rPr>
      <w:rFonts w:ascii="宋体" w:hAnsi="Times New Roman" w:eastAsia="宋体" w:cs="Times New Roman"/>
      <w:sz w:val="21"/>
      <w:lang w:val="en-US" w:eastAsia="zh-CN" w:bidi="ar-SA"/>
    </w:rPr>
  </w:style>
  <w:style w:type="paragraph" w:customStyle="1" w:styleId="96">
    <w:name w:val="附录四级条标题"/>
    <w:basedOn w:val="93"/>
    <w:next w:val="24"/>
    <w:qFormat/>
    <w:uiPriority w:val="0"/>
    <w:pPr>
      <w:numPr>
        <w:ilvl w:val="5"/>
      </w:numPr>
      <w:outlineLvl w:val="5"/>
    </w:pPr>
  </w:style>
  <w:style w:type="paragraph" w:customStyle="1" w:styleId="97">
    <w:name w:val="附录四级无"/>
    <w:basedOn w:val="96"/>
    <w:qFormat/>
    <w:uiPriority w:val="0"/>
    <w:pPr>
      <w:tabs>
        <w:tab w:val="clear" w:pos="360"/>
      </w:tabs>
      <w:spacing w:beforeLines="0" w:afterLines="0"/>
    </w:pPr>
    <w:rPr>
      <w:rFonts w:ascii="宋体" w:eastAsia="宋体"/>
      <w:szCs w:val="21"/>
    </w:rPr>
  </w:style>
  <w:style w:type="paragraph" w:customStyle="1" w:styleId="98">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99">
    <w:name w:val="附录图标题"/>
    <w:basedOn w:val="1"/>
    <w:next w:val="24"/>
    <w:qFormat/>
    <w:uiPriority w:val="0"/>
    <w:pPr>
      <w:numPr>
        <w:ilvl w:val="1"/>
        <w:numId w:val="13"/>
      </w:numPr>
      <w:tabs>
        <w:tab w:val="left" w:pos="363"/>
      </w:tabs>
      <w:spacing w:beforeLines="50" w:afterLines="50"/>
      <w:ind w:left="0" w:firstLine="0"/>
      <w:jc w:val="center"/>
    </w:pPr>
    <w:rPr>
      <w:rFonts w:ascii="黑体" w:eastAsia="黑体"/>
      <w:szCs w:val="21"/>
    </w:rPr>
  </w:style>
  <w:style w:type="paragraph" w:customStyle="1" w:styleId="100">
    <w:name w:val="附录五级条标题"/>
    <w:basedOn w:val="96"/>
    <w:next w:val="24"/>
    <w:qFormat/>
    <w:uiPriority w:val="0"/>
    <w:pPr>
      <w:numPr>
        <w:ilvl w:val="6"/>
      </w:numPr>
      <w:outlineLvl w:val="6"/>
    </w:pPr>
  </w:style>
  <w:style w:type="paragraph" w:customStyle="1" w:styleId="101">
    <w:name w:val="附录五级无"/>
    <w:basedOn w:val="100"/>
    <w:qFormat/>
    <w:uiPriority w:val="0"/>
    <w:pPr>
      <w:tabs>
        <w:tab w:val="clear" w:pos="360"/>
      </w:tabs>
      <w:spacing w:beforeLines="0" w:afterLines="0"/>
    </w:pPr>
    <w:rPr>
      <w:rFonts w:ascii="宋体" w:eastAsia="宋体"/>
      <w:szCs w:val="21"/>
    </w:rPr>
  </w:style>
  <w:style w:type="paragraph" w:customStyle="1" w:styleId="102">
    <w:name w:val="附录章标题"/>
    <w:next w:val="24"/>
    <w:qFormat/>
    <w:uiPriority w:val="0"/>
    <w:pPr>
      <w:numPr>
        <w:ilvl w:val="1"/>
        <w:numId w:val="10"/>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3">
    <w:name w:val="附录一级条标题"/>
    <w:basedOn w:val="102"/>
    <w:next w:val="24"/>
    <w:qFormat/>
    <w:uiPriority w:val="0"/>
    <w:pPr>
      <w:numPr>
        <w:ilvl w:val="2"/>
      </w:numPr>
      <w:autoSpaceDN w:val="0"/>
      <w:spacing w:beforeLines="50" w:afterLines="50"/>
      <w:outlineLvl w:val="2"/>
    </w:pPr>
  </w:style>
  <w:style w:type="paragraph" w:customStyle="1" w:styleId="104">
    <w:name w:val="附录一级无"/>
    <w:basedOn w:val="103"/>
    <w:qFormat/>
    <w:uiPriority w:val="0"/>
    <w:pPr>
      <w:tabs>
        <w:tab w:val="clear" w:pos="360"/>
      </w:tabs>
      <w:spacing w:beforeLines="0" w:afterLines="0"/>
    </w:pPr>
    <w:rPr>
      <w:rFonts w:ascii="宋体" w:eastAsia="宋体"/>
      <w:szCs w:val="21"/>
    </w:rPr>
  </w:style>
  <w:style w:type="paragraph" w:customStyle="1" w:styleId="105">
    <w:name w:val="附录字母编号列项（一级）"/>
    <w:qFormat/>
    <w:uiPriority w:val="0"/>
    <w:pPr>
      <w:numPr>
        <w:ilvl w:val="0"/>
        <w:numId w:val="12"/>
      </w:numPr>
    </w:pPr>
    <w:rPr>
      <w:rFonts w:ascii="宋体" w:hAnsi="Times New Roman" w:eastAsia="宋体" w:cs="Times New Roman"/>
      <w:sz w:val="21"/>
      <w:lang w:val="en-US" w:eastAsia="zh-CN" w:bidi="ar-SA"/>
    </w:rPr>
  </w:style>
  <w:style w:type="paragraph" w:customStyle="1" w:styleId="10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7">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8">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09">
    <w:name w:val="其他标准标志"/>
    <w:basedOn w:val="66"/>
    <w:qFormat/>
    <w:uiPriority w:val="0"/>
    <w:pPr>
      <w:framePr w:w="6101" w:wrap="around" w:vAnchor="page" w:hAnchor="page" w:x="4673" w:y="942"/>
    </w:pPr>
    <w:rPr>
      <w:w w:val="130"/>
    </w:rPr>
  </w:style>
  <w:style w:type="paragraph" w:customStyle="1" w:styleId="110">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1">
    <w:name w:val="其他发布部门"/>
    <w:basedOn w:val="74"/>
    <w:qFormat/>
    <w:uiPriority w:val="0"/>
    <w:pPr>
      <w:framePr w:wrap="around" w:y="15310"/>
      <w:spacing w:line="0" w:lineRule="atLeast"/>
    </w:pPr>
    <w:rPr>
      <w:rFonts w:ascii="黑体" w:eastAsia="黑体"/>
      <w:b w:val="0"/>
    </w:rPr>
  </w:style>
  <w:style w:type="paragraph" w:customStyle="1" w:styleId="112">
    <w:name w:val="前言、引言标题"/>
    <w:next w:val="24"/>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3">
    <w:name w:val="三级无"/>
    <w:basedOn w:val="51"/>
    <w:qFormat/>
    <w:uiPriority w:val="0"/>
    <w:pPr>
      <w:spacing w:beforeLines="0" w:afterLines="0"/>
    </w:pPr>
    <w:rPr>
      <w:rFonts w:ascii="宋体" w:eastAsia="宋体"/>
    </w:rPr>
  </w:style>
  <w:style w:type="paragraph" w:customStyle="1" w:styleId="114">
    <w:name w:val="实施日期"/>
    <w:basedOn w:val="75"/>
    <w:qFormat/>
    <w:uiPriority w:val="0"/>
    <w:pPr>
      <w:framePr w:wrap="around" w:vAnchor="page" w:hAnchor="text"/>
      <w:jc w:val="right"/>
    </w:pPr>
  </w:style>
  <w:style w:type="paragraph" w:customStyle="1" w:styleId="115">
    <w:name w:val="示例后文字"/>
    <w:basedOn w:val="24"/>
    <w:next w:val="24"/>
    <w:qFormat/>
    <w:uiPriority w:val="0"/>
    <w:pPr>
      <w:ind w:firstLine="360"/>
    </w:pPr>
    <w:rPr>
      <w:sz w:val="18"/>
    </w:rPr>
  </w:style>
  <w:style w:type="paragraph" w:customStyle="1" w:styleId="116">
    <w:name w:val="首示例"/>
    <w:next w:val="24"/>
    <w:link w:val="117"/>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character" w:customStyle="1" w:styleId="117">
    <w:name w:val="首示例 Char"/>
    <w:basedOn w:val="35"/>
    <w:link w:val="116"/>
    <w:qFormat/>
    <w:uiPriority w:val="0"/>
    <w:rPr>
      <w:rFonts w:ascii="宋体" w:hAnsi="宋体"/>
      <w:kern w:val="2"/>
      <w:sz w:val="18"/>
      <w:szCs w:val="18"/>
      <w:lang w:val="en-US" w:eastAsia="zh-CN" w:bidi="ar-SA"/>
    </w:rPr>
  </w:style>
  <w:style w:type="paragraph" w:customStyle="1" w:styleId="118">
    <w:name w:val="四级无"/>
    <w:basedOn w:val="55"/>
    <w:qFormat/>
    <w:uiPriority w:val="0"/>
    <w:pPr>
      <w:spacing w:beforeLines="0" w:afterLines="0"/>
    </w:pPr>
    <w:rPr>
      <w:rFonts w:ascii="宋体" w:eastAsia="宋体"/>
    </w:rPr>
  </w:style>
  <w:style w:type="paragraph" w:customStyle="1" w:styleId="119">
    <w:name w:val="条文脚注"/>
    <w:basedOn w:val="25"/>
    <w:qFormat/>
    <w:uiPriority w:val="0"/>
    <w:pPr>
      <w:numPr>
        <w:numId w:val="0"/>
      </w:numPr>
      <w:jc w:val="both"/>
    </w:pPr>
  </w:style>
  <w:style w:type="paragraph" w:customStyle="1" w:styleId="120">
    <w:name w:val="图标脚注说明"/>
    <w:basedOn w:val="24"/>
    <w:qFormat/>
    <w:uiPriority w:val="0"/>
    <w:pPr>
      <w:ind w:left="840" w:hanging="420" w:firstLineChars="0"/>
    </w:pPr>
    <w:rPr>
      <w:sz w:val="18"/>
      <w:szCs w:val="18"/>
    </w:rPr>
  </w:style>
  <w:style w:type="paragraph" w:customStyle="1" w:styleId="121">
    <w:name w:val="图表脚注说明"/>
    <w:basedOn w:val="1"/>
    <w:qFormat/>
    <w:uiPriority w:val="0"/>
    <w:pPr>
      <w:numPr>
        <w:ilvl w:val="0"/>
        <w:numId w:val="15"/>
      </w:numPr>
    </w:pPr>
    <w:rPr>
      <w:rFonts w:ascii="宋体"/>
      <w:sz w:val="18"/>
      <w:szCs w:val="18"/>
    </w:rPr>
  </w:style>
  <w:style w:type="paragraph" w:customStyle="1" w:styleId="122">
    <w:name w:val="图的脚注"/>
    <w:next w:val="24"/>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3">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4">
    <w:name w:val="五级无"/>
    <w:basedOn w:val="56"/>
    <w:qFormat/>
    <w:uiPriority w:val="0"/>
    <w:pPr>
      <w:spacing w:beforeLines="0" w:afterLines="0"/>
    </w:pPr>
    <w:rPr>
      <w:rFonts w:ascii="宋体" w:eastAsia="宋体"/>
    </w:rPr>
  </w:style>
  <w:style w:type="paragraph" w:customStyle="1" w:styleId="125">
    <w:name w:val="一级无"/>
    <w:basedOn w:val="42"/>
    <w:qFormat/>
    <w:uiPriority w:val="0"/>
    <w:pPr>
      <w:spacing w:beforeLines="0" w:afterLines="0"/>
    </w:pPr>
    <w:rPr>
      <w:rFonts w:ascii="宋体" w:eastAsia="宋体"/>
    </w:rPr>
  </w:style>
  <w:style w:type="paragraph" w:customStyle="1" w:styleId="126">
    <w:name w:val="正文表标题"/>
    <w:next w:val="24"/>
    <w:qFormat/>
    <w:uiPriority w:val="0"/>
    <w:pPr>
      <w:numPr>
        <w:ilvl w:val="0"/>
        <w:numId w:val="16"/>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7">
    <w:name w:val="正文公式编号制表符"/>
    <w:basedOn w:val="24"/>
    <w:next w:val="24"/>
    <w:qFormat/>
    <w:uiPriority w:val="0"/>
    <w:pPr>
      <w:ind w:firstLine="0" w:firstLineChars="0"/>
    </w:pPr>
  </w:style>
  <w:style w:type="paragraph" w:customStyle="1" w:styleId="128">
    <w:name w:val="正文图标题"/>
    <w:next w:val="24"/>
    <w:qFormat/>
    <w:uiPriority w:val="0"/>
    <w:pPr>
      <w:numPr>
        <w:ilvl w:val="0"/>
        <w:numId w:val="17"/>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9">
    <w:name w:val="终结线"/>
    <w:basedOn w:val="1"/>
    <w:qFormat/>
    <w:uiPriority w:val="0"/>
    <w:pPr>
      <w:framePr w:hSpace="181" w:vSpace="181" w:wrap="around" w:vAnchor="text" w:hAnchor="margin" w:xAlign="center" w:y="285"/>
    </w:pPr>
  </w:style>
  <w:style w:type="paragraph" w:customStyle="1" w:styleId="130">
    <w:name w:val="其他发布日期"/>
    <w:basedOn w:val="75"/>
    <w:qFormat/>
    <w:uiPriority w:val="0"/>
    <w:pPr>
      <w:framePr w:wrap="around" w:vAnchor="page" w:hAnchor="text" w:x="1419"/>
    </w:pPr>
  </w:style>
  <w:style w:type="paragraph" w:customStyle="1" w:styleId="131">
    <w:name w:val="其他实施日期"/>
    <w:basedOn w:val="114"/>
    <w:qFormat/>
    <w:uiPriority w:val="0"/>
    <w:pPr>
      <w:framePr w:wrap="around"/>
    </w:pPr>
  </w:style>
  <w:style w:type="paragraph" w:customStyle="1" w:styleId="132">
    <w:name w:val="封面标准名称2"/>
    <w:basedOn w:val="78"/>
    <w:qFormat/>
    <w:uiPriority w:val="0"/>
    <w:pPr>
      <w:framePr w:wrap="around" w:y="4469"/>
      <w:spacing w:beforeLines="630"/>
    </w:pPr>
  </w:style>
  <w:style w:type="paragraph" w:customStyle="1" w:styleId="133">
    <w:name w:val="封面标准英文名称2"/>
    <w:basedOn w:val="79"/>
    <w:qFormat/>
    <w:uiPriority w:val="0"/>
    <w:pPr>
      <w:framePr w:wrap="around" w:y="4469"/>
    </w:pPr>
  </w:style>
  <w:style w:type="paragraph" w:customStyle="1" w:styleId="134">
    <w:name w:val="封面一致性程度标识2"/>
    <w:basedOn w:val="80"/>
    <w:qFormat/>
    <w:uiPriority w:val="0"/>
    <w:pPr>
      <w:framePr w:wrap="around" w:y="4469"/>
    </w:pPr>
  </w:style>
  <w:style w:type="paragraph" w:customStyle="1" w:styleId="135">
    <w:name w:val="封面标准文稿类别2"/>
    <w:basedOn w:val="81"/>
    <w:qFormat/>
    <w:uiPriority w:val="0"/>
    <w:pPr>
      <w:framePr w:wrap="around" w:y="4469"/>
    </w:pPr>
  </w:style>
  <w:style w:type="paragraph" w:customStyle="1" w:styleId="136">
    <w:name w:val="封面标准文稿编辑信息2"/>
    <w:basedOn w:val="82"/>
    <w:qFormat/>
    <w:uiPriority w:val="0"/>
    <w:pPr>
      <w:framePr w:wrap="around" w:y="4469"/>
    </w:pPr>
  </w:style>
  <w:style w:type="character" w:customStyle="1" w:styleId="137">
    <w:name w:val="标题 2 Char"/>
    <w:basedOn w:val="35"/>
    <w:link w:val="3"/>
    <w:qFormat/>
    <w:uiPriority w:val="9"/>
    <w:rPr>
      <w:rFonts w:ascii="黑体" w:hAnsi="Arial" w:eastAsia="黑体"/>
      <w:b/>
      <w:bCs/>
      <w:kern w:val="2"/>
      <w:sz w:val="30"/>
      <w:szCs w:val="30"/>
    </w:rPr>
  </w:style>
  <w:style w:type="paragraph" w:styleId="138">
    <w:name w:val="List Paragraph"/>
    <w:basedOn w:val="1"/>
    <w:qFormat/>
    <w:uiPriority w:val="99"/>
    <w:pPr>
      <w:ind w:firstLine="420" w:firstLineChars="200"/>
    </w:pPr>
  </w:style>
  <w:style w:type="character" w:customStyle="1" w:styleId="139">
    <w:name w:val="font41"/>
    <w:basedOn w:val="35"/>
    <w:qFormat/>
    <w:uiPriority w:val="0"/>
    <w:rPr>
      <w:rFonts w:ascii="Arial" w:hAnsi="Arial" w:cs="Arial"/>
      <w:color w:val="000000"/>
      <w:sz w:val="24"/>
      <w:szCs w:val="24"/>
      <w:u w:val="none"/>
    </w:rPr>
  </w:style>
  <w:style w:type="character" w:customStyle="1" w:styleId="140">
    <w:name w:val="font21"/>
    <w:basedOn w:val="35"/>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32593;&#32476;&#24066;&#22330;&#20449;&#29992;&#35780;&#20215;&#31649;&#29702;&#21150;&#27861;%20(&#20462;&#22797;&#3034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3B3D92-D5BE-4591-81E5-B423E280F8B6}">
  <ds:schemaRefs/>
</ds:datastoreItem>
</file>

<file path=docProps/app.xml><?xml version="1.0" encoding="utf-8"?>
<Properties xmlns="http://schemas.openxmlformats.org/officeDocument/2006/extended-properties" xmlns:vt="http://schemas.openxmlformats.org/officeDocument/2006/docPropsVTypes">
  <Template>网络市场信用评价管理办法 (修复的)</Template>
  <Pages>11</Pages>
  <Words>5660</Words>
  <Characters>6060</Characters>
  <Lines>45</Lines>
  <Paragraphs>12</Paragraphs>
  <TotalTime>6</TotalTime>
  <ScaleCrop>false</ScaleCrop>
  <LinksUpToDate>false</LinksUpToDate>
  <CharactersWithSpaces>6122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2023-09-01T07:21:00Z</dcterms:created>
  <dcterms:modified xsi:type="dcterms:W3CDTF">2023-09-15T01:49:08Z</dcterms:modified>
  <dc:title>标准名称</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C06E74C4B9544514B1FA3BC7A32FBC98_13</vt:lpwstr>
  </property>
</Properties>
</file>